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5A7BAD" w:rsidRDefault="005A7BAD" w:rsidP="004A6BC1">
      <w:pPr>
        <w:rPr>
          <w:b/>
          <w:color w:val="98C33C"/>
          <w:sz w:val="28"/>
          <w:szCs w:val="28"/>
        </w:rPr>
      </w:pPr>
    </w:p>
    <w:p w:rsidR="005A7BAD" w:rsidRPr="009445C1" w:rsidRDefault="005A7BAD" w:rsidP="005A7BAD">
      <w:pPr>
        <w:rPr>
          <w:b/>
          <w:bCs/>
          <w:sz w:val="36"/>
          <w:szCs w:val="36"/>
          <w:lang w:val="en-AU"/>
        </w:rPr>
      </w:pPr>
      <w:r w:rsidRPr="009445C1">
        <w:rPr>
          <w:b/>
          <w:bCs/>
          <w:sz w:val="36"/>
          <w:szCs w:val="36"/>
          <w:lang w:val="en-AU"/>
        </w:rPr>
        <w:t>Performing and Communicating Music in Schools</w:t>
      </w:r>
    </w:p>
    <w:p w:rsidR="009445C1" w:rsidRDefault="009445C1" w:rsidP="005A7BAD">
      <w:pPr>
        <w:rPr>
          <w:b/>
          <w:bCs/>
          <w:lang w:val="en-AU"/>
        </w:rPr>
      </w:pPr>
    </w:p>
    <w:p w:rsidR="005A7BAD" w:rsidRPr="009445C1" w:rsidRDefault="005A7BAD" w:rsidP="005A7BAD">
      <w:pPr>
        <w:rPr>
          <w:b/>
          <w:bCs/>
          <w:sz w:val="28"/>
          <w:szCs w:val="28"/>
          <w:lang w:val="en-AU"/>
        </w:rPr>
      </w:pPr>
      <w:r w:rsidRPr="009445C1">
        <w:rPr>
          <w:b/>
          <w:bCs/>
          <w:sz w:val="28"/>
          <w:szCs w:val="28"/>
          <w:lang w:val="en-AU"/>
        </w:rPr>
        <w:t>Performing and communicating music in the course of education</w:t>
      </w:r>
    </w:p>
    <w:p w:rsidR="009445C1" w:rsidRDefault="009445C1" w:rsidP="005A7BAD">
      <w:pPr>
        <w:rPr>
          <w:lang w:val="en-AU"/>
        </w:rPr>
      </w:pPr>
    </w:p>
    <w:p w:rsidR="005A7BAD" w:rsidRDefault="005A7BAD" w:rsidP="005A7BAD">
      <w:pPr>
        <w:rPr>
          <w:lang w:val="en-AU"/>
        </w:rPr>
      </w:pPr>
      <w:r w:rsidRPr="005A7BAD">
        <w:rPr>
          <w:lang w:val="en-AU"/>
        </w:rPr>
        <w:t>Teachers and students can </w:t>
      </w:r>
      <w:hyperlink r:id="rId8" w:history="1">
        <w:r w:rsidRPr="005A7BAD">
          <w:rPr>
            <w:rStyle w:val="Hyperlink"/>
            <w:lang w:val="en-AU"/>
          </w:rPr>
          <w:t>perform</w:t>
        </w:r>
      </w:hyperlink>
      <w:r w:rsidRPr="005A7BAD">
        <w:rPr>
          <w:lang w:val="en-AU"/>
        </w:rPr>
        <w:t> and </w:t>
      </w:r>
      <w:hyperlink r:id="rId9" w:history="1">
        <w:r w:rsidRPr="005A7BAD">
          <w:rPr>
            <w:rStyle w:val="Hyperlink"/>
            <w:lang w:val="en-AU"/>
          </w:rPr>
          <w:t>communicate</w:t>
        </w:r>
      </w:hyperlink>
      <w:r w:rsidRPr="005A7BAD">
        <w:rPr>
          <w:lang w:val="en-AU"/>
        </w:rPr>
        <w:t> music in class under a special exception in the Australian Copyright Act (section 28) provided it is:</w:t>
      </w:r>
    </w:p>
    <w:p w:rsidR="009445C1" w:rsidRPr="005A7BAD" w:rsidRDefault="009445C1" w:rsidP="005A7BAD">
      <w:pPr>
        <w:rPr>
          <w:lang w:val="en-AU"/>
        </w:rPr>
      </w:pPr>
    </w:p>
    <w:p w:rsidR="005A7BAD" w:rsidRPr="005A7BAD" w:rsidRDefault="005A7BAD" w:rsidP="005A7BAD">
      <w:pPr>
        <w:numPr>
          <w:ilvl w:val="0"/>
          <w:numId w:val="20"/>
        </w:numPr>
        <w:rPr>
          <w:lang w:val="en-AU"/>
        </w:rPr>
      </w:pPr>
      <w:r w:rsidRPr="005A7BAD">
        <w:rPr>
          <w:lang w:val="en-AU"/>
        </w:rPr>
        <w:t>in the course of education and is not for profit and</w:t>
      </w:r>
    </w:p>
    <w:p w:rsidR="005A7BAD" w:rsidRPr="005A7BAD" w:rsidRDefault="005A7BAD" w:rsidP="005A7BAD">
      <w:pPr>
        <w:numPr>
          <w:ilvl w:val="0"/>
          <w:numId w:val="20"/>
        </w:numPr>
        <w:rPr>
          <w:lang w:val="en-AU"/>
        </w:rPr>
      </w:pPr>
      <w:r w:rsidRPr="005A7BAD">
        <w:rPr>
          <w:lang w:val="en-AU"/>
        </w:rPr>
        <w:t>the people in the audience or class are giving or receiving instruction or are directly connected with the place where instruction is given.</w:t>
      </w:r>
    </w:p>
    <w:p w:rsidR="009445C1" w:rsidRDefault="009445C1" w:rsidP="005A7BAD">
      <w:pPr>
        <w:rPr>
          <w:lang w:val="en-AU"/>
        </w:rPr>
      </w:pPr>
    </w:p>
    <w:p w:rsidR="005A7BAD" w:rsidRPr="005A7BAD" w:rsidRDefault="005A7BAD" w:rsidP="005A7BAD">
      <w:pPr>
        <w:rPr>
          <w:lang w:val="en-AU"/>
        </w:rPr>
      </w:pPr>
      <w:r w:rsidRPr="005A7BAD">
        <w:rPr>
          <w:lang w:val="en-AU"/>
        </w:rPr>
        <w:t>Under the Copyright Act, music is ‘performed’ where it is visually or aurally represented and ‘communicated’ where it is made available online (school intranet, learning management system) or electronically transmitted (emailed or streamed).</w:t>
      </w:r>
    </w:p>
    <w:p w:rsidR="009445C1" w:rsidRDefault="009445C1" w:rsidP="005A7BAD">
      <w:pPr>
        <w:rPr>
          <w:lang w:val="en-AU"/>
        </w:rPr>
      </w:pPr>
    </w:p>
    <w:p w:rsidR="005A7BAD" w:rsidRDefault="005A7BAD" w:rsidP="005A7BAD">
      <w:pPr>
        <w:rPr>
          <w:lang w:val="en-AU"/>
        </w:rPr>
      </w:pPr>
      <w:r w:rsidRPr="005A7BAD">
        <w:rPr>
          <w:lang w:val="en-AU"/>
        </w:rPr>
        <w:t>Therefore, under s 28, teachers and students can do the following in class:</w:t>
      </w:r>
    </w:p>
    <w:p w:rsidR="009445C1" w:rsidRPr="005A7BAD" w:rsidRDefault="009445C1" w:rsidP="005A7BAD">
      <w:pPr>
        <w:rPr>
          <w:lang w:val="en-AU"/>
        </w:rPr>
      </w:pPr>
    </w:p>
    <w:p w:rsidR="005A7BAD" w:rsidRPr="005A7BAD" w:rsidRDefault="005A7BAD" w:rsidP="005A7BAD">
      <w:pPr>
        <w:numPr>
          <w:ilvl w:val="0"/>
          <w:numId w:val="21"/>
        </w:numPr>
        <w:rPr>
          <w:lang w:val="en-AU"/>
        </w:rPr>
      </w:pPr>
      <w:r w:rsidRPr="005A7BAD">
        <w:rPr>
          <w:lang w:val="en-AU"/>
        </w:rPr>
        <w:t>sing songs and play instruments</w:t>
      </w:r>
    </w:p>
    <w:p w:rsidR="005A7BAD" w:rsidRPr="005A7BAD" w:rsidRDefault="005A7BAD" w:rsidP="005A7BAD">
      <w:pPr>
        <w:numPr>
          <w:ilvl w:val="0"/>
          <w:numId w:val="21"/>
        </w:numPr>
        <w:rPr>
          <w:lang w:val="en-AU"/>
        </w:rPr>
      </w:pPr>
      <w:r w:rsidRPr="005A7BAD">
        <w:rPr>
          <w:lang w:val="en-AU"/>
        </w:rPr>
        <w:t>play </w:t>
      </w:r>
      <w:hyperlink r:id="rId10" w:history="1">
        <w:r w:rsidRPr="005A7BAD">
          <w:rPr>
            <w:rStyle w:val="Hyperlink"/>
            <w:lang w:val="en-AU"/>
          </w:rPr>
          <w:t>sound recordings</w:t>
        </w:r>
      </w:hyperlink>
      <w:r w:rsidRPr="005A7BAD">
        <w:rPr>
          <w:lang w:val="en-AU"/>
        </w:rPr>
        <w:t> using a tape/CD/DVD player, electronic reticulation system, learning management system, interactive whiteboard or virtual classroom software; or</w:t>
      </w:r>
    </w:p>
    <w:p w:rsidR="005A7BAD" w:rsidRPr="005A7BAD" w:rsidRDefault="005A7BAD" w:rsidP="005A7BAD">
      <w:pPr>
        <w:numPr>
          <w:ilvl w:val="0"/>
          <w:numId w:val="21"/>
        </w:numPr>
        <w:rPr>
          <w:lang w:val="en-AU"/>
        </w:rPr>
      </w:pPr>
      <w:r w:rsidRPr="005A7BAD">
        <w:rPr>
          <w:lang w:val="en-AU"/>
        </w:rPr>
        <w:t>Play a </w:t>
      </w:r>
      <w:hyperlink r:id="rId11" w:history="1">
        <w:r w:rsidRPr="005A7BAD">
          <w:rPr>
            <w:rStyle w:val="Hyperlink"/>
            <w:lang w:val="en-AU"/>
          </w:rPr>
          <w:t>film</w:t>
        </w:r>
      </w:hyperlink>
      <w:r w:rsidRPr="005A7BAD">
        <w:rPr>
          <w:lang w:val="en-AU"/>
        </w:rPr>
        <w:t> (VHS, DVD or online </w:t>
      </w:r>
      <w:hyperlink r:id="rId12" w:history="1">
        <w:r w:rsidRPr="005A7BAD">
          <w:rPr>
            <w:rStyle w:val="Hyperlink"/>
            <w:lang w:val="en-AU"/>
          </w:rPr>
          <w:t>film</w:t>
        </w:r>
      </w:hyperlink>
      <w:r w:rsidRPr="005A7BAD">
        <w:rPr>
          <w:lang w:val="en-AU"/>
        </w:rPr>
        <w:t>) which contains music using a DVD player, electronic reticulation system or learning management system.</w:t>
      </w:r>
    </w:p>
    <w:p w:rsidR="009445C1" w:rsidRDefault="009445C1" w:rsidP="005A7BAD">
      <w:pPr>
        <w:rPr>
          <w:lang w:val="en-AU"/>
        </w:rPr>
      </w:pPr>
    </w:p>
    <w:p w:rsidR="005A7BAD" w:rsidRPr="005A7BAD" w:rsidRDefault="005A7BAD" w:rsidP="005A7BAD">
      <w:pPr>
        <w:rPr>
          <w:lang w:val="en-AU"/>
        </w:rPr>
      </w:pPr>
      <w:r w:rsidRPr="005A7BAD">
        <w:rPr>
          <w:lang w:val="en-AU"/>
        </w:rPr>
        <w:t>For further information on s 28, see ‘</w:t>
      </w:r>
      <w:hyperlink r:id="rId13" w:history="1">
        <w:r w:rsidRPr="005A7BAD">
          <w:rPr>
            <w:rStyle w:val="Hyperlink"/>
            <w:lang w:val="en-AU"/>
          </w:rPr>
          <w:t>Performance and Communication of Copyright Material in Class: What am I allowed to do?</w:t>
        </w:r>
      </w:hyperlink>
      <w:r w:rsidRPr="005A7BAD">
        <w:rPr>
          <w:lang w:val="en-AU"/>
        </w:rPr>
        <w:t>’.</w:t>
      </w:r>
    </w:p>
    <w:p w:rsidR="009445C1" w:rsidRDefault="009445C1" w:rsidP="005A7BAD">
      <w:pPr>
        <w:rPr>
          <w:b/>
          <w:bCs/>
          <w:lang w:val="en-AU"/>
        </w:rPr>
      </w:pPr>
    </w:p>
    <w:p w:rsidR="005A7BAD" w:rsidRPr="009445C1" w:rsidRDefault="005A7BAD" w:rsidP="005A7BAD">
      <w:pPr>
        <w:rPr>
          <w:b/>
          <w:bCs/>
          <w:sz w:val="28"/>
          <w:szCs w:val="28"/>
          <w:lang w:val="en-AU"/>
        </w:rPr>
      </w:pPr>
      <w:r w:rsidRPr="009445C1">
        <w:rPr>
          <w:b/>
          <w:bCs/>
          <w:sz w:val="28"/>
          <w:szCs w:val="28"/>
          <w:lang w:val="en-AU"/>
        </w:rPr>
        <w:t>Playing and performing music for non-teaching activities</w:t>
      </w:r>
    </w:p>
    <w:p w:rsidR="009445C1" w:rsidRDefault="009445C1" w:rsidP="005A7BAD">
      <w:pPr>
        <w:rPr>
          <w:lang w:val="en-AU"/>
        </w:rPr>
      </w:pPr>
    </w:p>
    <w:p w:rsidR="005A7BAD" w:rsidRDefault="005A7BAD" w:rsidP="005A7BAD">
      <w:pPr>
        <w:rPr>
          <w:lang w:val="en-AU"/>
        </w:rPr>
      </w:pPr>
      <w:r w:rsidRPr="005A7BAD">
        <w:rPr>
          <w:lang w:val="en-AU"/>
        </w:rPr>
        <w:t>Section 28 will not apply to teachers and students </w:t>
      </w:r>
      <w:hyperlink r:id="rId14" w:history="1">
        <w:r w:rsidRPr="005A7BAD">
          <w:rPr>
            <w:rStyle w:val="Hyperlink"/>
            <w:lang w:val="en-AU"/>
          </w:rPr>
          <w:t>performing</w:t>
        </w:r>
      </w:hyperlink>
      <w:r w:rsidRPr="005A7BAD">
        <w:rPr>
          <w:lang w:val="en-AU"/>
        </w:rPr>
        <w:t> and </w:t>
      </w:r>
      <w:hyperlink r:id="rId15" w:history="1">
        <w:r w:rsidRPr="005A7BAD">
          <w:rPr>
            <w:rStyle w:val="Hyperlink"/>
            <w:lang w:val="en-AU"/>
          </w:rPr>
          <w:t>communicating</w:t>
        </w:r>
      </w:hyperlink>
      <w:r w:rsidRPr="005A7BAD">
        <w:rPr>
          <w:lang w:val="en-AU"/>
        </w:rPr>
        <w:t> music for non-teaching activities. This includes school concerts, dances or formals, sports days and fairs. As a result, the Schools sector has entered into an agreement with the </w:t>
      </w:r>
      <w:hyperlink r:id="rId16" w:history="1">
        <w:r w:rsidRPr="005A7BAD">
          <w:rPr>
            <w:rStyle w:val="Hyperlink"/>
            <w:lang w:val="en-AU"/>
          </w:rPr>
          <w:t>Australasian Performing Right Association (APRA)</w:t>
        </w:r>
      </w:hyperlink>
      <w:r w:rsidRPr="005A7BAD">
        <w:rPr>
          <w:lang w:val="en-AU"/>
        </w:rPr>
        <w:t> to allow schools to </w:t>
      </w:r>
      <w:hyperlink r:id="rId17" w:history="1">
        <w:r w:rsidRPr="005A7BAD">
          <w:rPr>
            <w:rStyle w:val="Hyperlink"/>
            <w:lang w:val="en-AU"/>
          </w:rPr>
          <w:t>perform</w:t>
        </w:r>
      </w:hyperlink>
      <w:r w:rsidRPr="005A7BAD">
        <w:rPr>
          <w:lang w:val="en-AU"/>
        </w:rPr>
        <w:t> music where s 28 does not apply.</w:t>
      </w:r>
    </w:p>
    <w:p w:rsidR="009445C1" w:rsidRPr="005A7BAD" w:rsidRDefault="009445C1" w:rsidP="005A7BAD">
      <w:pPr>
        <w:rPr>
          <w:lang w:val="en-AU"/>
        </w:rPr>
      </w:pPr>
    </w:p>
    <w:p w:rsidR="005A7BAD" w:rsidRDefault="005A7BAD" w:rsidP="005A7BAD">
      <w:pPr>
        <w:rPr>
          <w:lang w:val="en-AU"/>
        </w:rPr>
      </w:pPr>
      <w:r w:rsidRPr="005A7BAD">
        <w:rPr>
          <w:lang w:val="en-AU"/>
        </w:rPr>
        <w:t>All government and Catholic schools are covered by the </w:t>
      </w:r>
      <w:hyperlink r:id="rId18" w:history="1">
        <w:r w:rsidRPr="005A7BAD">
          <w:rPr>
            <w:rStyle w:val="Hyperlink"/>
            <w:lang w:val="en-AU"/>
          </w:rPr>
          <w:t>APRA Licence</w:t>
        </w:r>
      </w:hyperlink>
      <w:r w:rsidRPr="005A7BAD">
        <w:rPr>
          <w:lang w:val="en-AU"/>
        </w:rPr>
        <w:t>. Most independent schools are covered by the </w:t>
      </w:r>
      <w:hyperlink r:id="rId19" w:history="1">
        <w:r w:rsidRPr="005A7BAD">
          <w:rPr>
            <w:rStyle w:val="Hyperlink"/>
            <w:lang w:val="en-AU"/>
          </w:rPr>
          <w:t>APRA Licence</w:t>
        </w:r>
      </w:hyperlink>
      <w:r w:rsidRPr="005A7BAD">
        <w:rPr>
          <w:lang w:val="en-AU"/>
        </w:rPr>
        <w:t>.</w:t>
      </w:r>
    </w:p>
    <w:p w:rsidR="009445C1" w:rsidRPr="005A7BAD" w:rsidRDefault="009445C1" w:rsidP="005A7BAD">
      <w:pPr>
        <w:rPr>
          <w:lang w:val="en-AU"/>
        </w:rPr>
      </w:pPr>
    </w:p>
    <w:p w:rsidR="005A7BAD" w:rsidRDefault="005A7BAD" w:rsidP="005A7BAD">
      <w:pPr>
        <w:rPr>
          <w:lang w:val="en-AU"/>
        </w:rPr>
      </w:pPr>
      <w:r w:rsidRPr="005A7BAD">
        <w:rPr>
          <w:lang w:val="en-AU"/>
        </w:rPr>
        <w:t>If you are an independent school, you can check whether you are covered by the </w:t>
      </w:r>
      <w:hyperlink r:id="rId20" w:history="1">
        <w:r w:rsidRPr="005A7BAD">
          <w:rPr>
            <w:rStyle w:val="Hyperlink"/>
            <w:lang w:val="en-AU"/>
          </w:rPr>
          <w:t>APRA Licence</w:t>
        </w:r>
      </w:hyperlink>
      <w:r w:rsidRPr="005A7BAD">
        <w:rPr>
          <w:lang w:val="en-AU"/>
        </w:rPr>
        <w:t> by contacting your school authority.</w:t>
      </w:r>
    </w:p>
    <w:p w:rsidR="009445C1" w:rsidRPr="005A7BAD" w:rsidRDefault="009445C1" w:rsidP="005A7BAD">
      <w:pPr>
        <w:rPr>
          <w:lang w:val="en-AU"/>
        </w:rPr>
      </w:pPr>
    </w:p>
    <w:p w:rsidR="009445C1" w:rsidRDefault="009445C1" w:rsidP="005A7BAD">
      <w:pPr>
        <w:rPr>
          <w:b/>
          <w:bCs/>
          <w:lang w:val="en-AU"/>
        </w:rPr>
      </w:pPr>
    </w:p>
    <w:p w:rsidR="009445C1" w:rsidRDefault="009445C1" w:rsidP="005A7BAD">
      <w:pPr>
        <w:rPr>
          <w:b/>
          <w:bCs/>
          <w:lang w:val="en-AU"/>
        </w:rPr>
      </w:pPr>
    </w:p>
    <w:p w:rsidR="005A7BAD" w:rsidRPr="009445C1" w:rsidRDefault="005A7BAD" w:rsidP="005A7BAD">
      <w:pPr>
        <w:rPr>
          <w:b/>
          <w:bCs/>
          <w:sz w:val="28"/>
          <w:szCs w:val="28"/>
          <w:lang w:val="en-AU"/>
        </w:rPr>
      </w:pPr>
      <w:r w:rsidRPr="009445C1">
        <w:rPr>
          <w:b/>
          <w:bCs/>
          <w:sz w:val="28"/>
          <w:szCs w:val="28"/>
          <w:lang w:val="en-AU"/>
        </w:rPr>
        <w:t>What is APRA?</w:t>
      </w:r>
    </w:p>
    <w:p w:rsidR="009445C1" w:rsidRPr="005A7BAD" w:rsidRDefault="009445C1" w:rsidP="005A7BAD">
      <w:pPr>
        <w:rPr>
          <w:b/>
          <w:bCs/>
          <w:lang w:val="en-AU"/>
        </w:rPr>
      </w:pPr>
    </w:p>
    <w:p w:rsidR="005A7BAD" w:rsidRPr="005A7BAD" w:rsidRDefault="005A7BAD" w:rsidP="005A7BAD">
      <w:pPr>
        <w:rPr>
          <w:lang w:val="en-AU"/>
        </w:rPr>
      </w:pPr>
      <w:r w:rsidRPr="005A7BAD">
        <w:rPr>
          <w:lang w:val="en-AU"/>
        </w:rPr>
        <w:t>APRA is a non-profit society of composers, </w:t>
      </w:r>
      <w:hyperlink r:id="rId21" w:history="1">
        <w:r w:rsidRPr="005A7BAD">
          <w:rPr>
            <w:rStyle w:val="Hyperlink"/>
            <w:lang w:val="en-AU"/>
          </w:rPr>
          <w:t>authors</w:t>
        </w:r>
      </w:hyperlink>
      <w:r w:rsidRPr="005A7BAD">
        <w:rPr>
          <w:lang w:val="en-AU"/>
        </w:rPr>
        <w:t> and publishers of music that administers the performance and communication rights of its members.</w:t>
      </w:r>
    </w:p>
    <w:p w:rsidR="009445C1" w:rsidRDefault="009445C1" w:rsidP="005A7BAD">
      <w:pPr>
        <w:rPr>
          <w:lang w:val="en-AU"/>
        </w:rPr>
      </w:pPr>
    </w:p>
    <w:p w:rsidR="005A7BAD" w:rsidRPr="005A7BAD" w:rsidRDefault="005A7BAD" w:rsidP="005A7BAD">
      <w:pPr>
        <w:rPr>
          <w:lang w:val="en-AU"/>
        </w:rPr>
      </w:pPr>
      <w:r w:rsidRPr="005A7BAD">
        <w:rPr>
          <w:lang w:val="en-AU"/>
        </w:rPr>
        <w:t>For further information on APRA, see the </w:t>
      </w:r>
      <w:hyperlink r:id="rId22" w:history="1">
        <w:r w:rsidRPr="005A7BAD">
          <w:rPr>
            <w:rStyle w:val="Hyperlink"/>
            <w:lang w:val="en-AU"/>
          </w:rPr>
          <w:t>APRA website</w:t>
        </w:r>
      </w:hyperlink>
      <w:r w:rsidRPr="005A7BAD">
        <w:rPr>
          <w:lang w:val="en-AU"/>
        </w:rPr>
        <w:t>.</w:t>
      </w:r>
    </w:p>
    <w:p w:rsidR="009445C1" w:rsidRDefault="009445C1" w:rsidP="005A7BAD">
      <w:pPr>
        <w:rPr>
          <w:b/>
          <w:bCs/>
          <w:lang w:val="en-AU"/>
        </w:rPr>
      </w:pPr>
    </w:p>
    <w:p w:rsidR="005A7BAD" w:rsidRPr="009445C1" w:rsidRDefault="005A7BAD" w:rsidP="005A7BAD">
      <w:pPr>
        <w:rPr>
          <w:b/>
          <w:bCs/>
          <w:sz w:val="28"/>
          <w:szCs w:val="28"/>
          <w:lang w:val="en-AU"/>
        </w:rPr>
      </w:pPr>
      <w:r w:rsidRPr="009445C1">
        <w:rPr>
          <w:b/>
          <w:bCs/>
          <w:sz w:val="28"/>
          <w:szCs w:val="28"/>
          <w:lang w:val="en-AU"/>
        </w:rPr>
        <w:t>What does the APRA Licence cover?</w:t>
      </w:r>
    </w:p>
    <w:p w:rsidR="009445C1" w:rsidRDefault="009445C1" w:rsidP="005A7BAD">
      <w:pPr>
        <w:rPr>
          <w:lang w:val="en-AU"/>
        </w:rPr>
      </w:pPr>
    </w:p>
    <w:p w:rsidR="005A7BAD" w:rsidRPr="005A7BAD" w:rsidRDefault="005A7BAD" w:rsidP="005A7BAD">
      <w:pPr>
        <w:rPr>
          <w:lang w:val="en-AU"/>
        </w:rPr>
      </w:pPr>
      <w:r w:rsidRPr="005A7BAD">
        <w:rPr>
          <w:lang w:val="en-AU"/>
        </w:rPr>
        <w:t>Under the </w:t>
      </w:r>
      <w:hyperlink r:id="rId23" w:history="1">
        <w:r w:rsidRPr="005A7BAD">
          <w:rPr>
            <w:rStyle w:val="Hyperlink"/>
            <w:lang w:val="en-AU"/>
          </w:rPr>
          <w:t>APRA Licence</w:t>
        </w:r>
      </w:hyperlink>
      <w:r w:rsidRPr="005A7BAD">
        <w:rPr>
          <w:lang w:val="en-AU"/>
        </w:rPr>
        <w:t>, a school and its students can </w:t>
      </w:r>
      <w:hyperlink r:id="rId24" w:history="1">
        <w:r w:rsidRPr="005A7BAD">
          <w:rPr>
            <w:rStyle w:val="Hyperlink"/>
            <w:lang w:val="en-AU"/>
          </w:rPr>
          <w:t>perform</w:t>
        </w:r>
      </w:hyperlink>
      <w:r w:rsidRPr="005A7BAD">
        <w:rPr>
          <w:lang w:val="en-AU"/>
        </w:rPr>
        <w:t> music at the school or off-school premises at any event connected with school activities.</w:t>
      </w:r>
    </w:p>
    <w:p w:rsidR="009445C1" w:rsidRDefault="009445C1" w:rsidP="005A7BAD">
      <w:pPr>
        <w:rPr>
          <w:lang w:val="en-AU"/>
        </w:rPr>
      </w:pPr>
    </w:p>
    <w:p w:rsidR="005A7BAD" w:rsidRPr="005A7BAD" w:rsidRDefault="005A7BAD" w:rsidP="005A7BAD">
      <w:pPr>
        <w:rPr>
          <w:lang w:val="en-AU"/>
        </w:rPr>
      </w:pPr>
      <w:r w:rsidRPr="005A7BAD">
        <w:rPr>
          <w:lang w:val="en-AU"/>
        </w:rPr>
        <w:t>This includes any live </w:t>
      </w:r>
      <w:hyperlink r:id="rId25" w:history="1">
        <w:r w:rsidRPr="005A7BAD">
          <w:rPr>
            <w:rStyle w:val="Hyperlink"/>
            <w:lang w:val="en-AU"/>
          </w:rPr>
          <w:t>performance</w:t>
        </w:r>
      </w:hyperlink>
      <w:r w:rsidRPr="005A7BAD">
        <w:rPr>
          <w:lang w:val="en-AU"/>
        </w:rPr>
        <w:t> of music by teachers or students.</w:t>
      </w:r>
    </w:p>
    <w:p w:rsidR="009445C1" w:rsidRDefault="009445C1" w:rsidP="005A7BAD">
      <w:pPr>
        <w:rPr>
          <w:lang w:val="en-AU"/>
        </w:rPr>
      </w:pPr>
    </w:p>
    <w:p w:rsidR="005A7BAD" w:rsidRDefault="005A7BAD" w:rsidP="005A7BAD">
      <w:pPr>
        <w:rPr>
          <w:lang w:val="en-AU"/>
        </w:rPr>
      </w:pPr>
      <w:r w:rsidRPr="005A7BAD">
        <w:rPr>
          <w:lang w:val="en-AU"/>
        </w:rPr>
        <w:t>The following are covered by the </w:t>
      </w:r>
      <w:hyperlink r:id="rId26" w:history="1">
        <w:r w:rsidRPr="005A7BAD">
          <w:rPr>
            <w:rStyle w:val="Hyperlink"/>
            <w:lang w:val="en-AU"/>
          </w:rPr>
          <w:t>APRA Licence</w:t>
        </w:r>
      </w:hyperlink>
      <w:r w:rsidRPr="005A7BAD">
        <w:rPr>
          <w:lang w:val="en-AU"/>
        </w:rPr>
        <w:t>:</w:t>
      </w:r>
    </w:p>
    <w:p w:rsidR="009445C1" w:rsidRPr="005A7BAD" w:rsidRDefault="009445C1" w:rsidP="005A7BAD">
      <w:pPr>
        <w:rPr>
          <w:lang w:val="en-AU"/>
        </w:rPr>
      </w:pPr>
    </w:p>
    <w:p w:rsidR="005A7BAD" w:rsidRPr="005A7BAD" w:rsidRDefault="005A7BAD" w:rsidP="005A7BAD">
      <w:pPr>
        <w:numPr>
          <w:ilvl w:val="0"/>
          <w:numId w:val="22"/>
        </w:numPr>
        <w:rPr>
          <w:lang w:val="en-AU"/>
        </w:rPr>
      </w:pPr>
      <w:r w:rsidRPr="005A7BAD">
        <w:rPr>
          <w:lang w:val="en-AU"/>
        </w:rPr>
        <w:t>school concerts and </w:t>
      </w:r>
      <w:hyperlink r:id="rId27" w:history="1">
        <w:r w:rsidRPr="005A7BAD">
          <w:rPr>
            <w:rStyle w:val="Hyperlink"/>
            <w:lang w:val="en-AU"/>
          </w:rPr>
          <w:t>performance</w:t>
        </w:r>
      </w:hyperlink>
      <w:r w:rsidRPr="005A7BAD">
        <w:rPr>
          <w:lang w:val="en-AU"/>
        </w:rPr>
        <w:t> evenings (choirs, singing groups, school band, orchestra or rock bands)</w:t>
      </w:r>
    </w:p>
    <w:p w:rsidR="005A7BAD" w:rsidRPr="005A7BAD" w:rsidRDefault="005A7BAD" w:rsidP="005A7BAD">
      <w:pPr>
        <w:numPr>
          <w:ilvl w:val="0"/>
          <w:numId w:val="22"/>
        </w:numPr>
        <w:rPr>
          <w:lang w:val="en-AU"/>
        </w:rPr>
      </w:pPr>
      <w:r w:rsidRPr="005A7BAD">
        <w:rPr>
          <w:lang w:val="en-AU"/>
        </w:rPr>
        <w:t>school sports days, dance and fitness classes</w:t>
      </w:r>
    </w:p>
    <w:p w:rsidR="005A7BAD" w:rsidRPr="005A7BAD" w:rsidRDefault="005A7BAD" w:rsidP="005A7BAD">
      <w:pPr>
        <w:numPr>
          <w:ilvl w:val="0"/>
          <w:numId w:val="22"/>
        </w:numPr>
        <w:rPr>
          <w:lang w:val="en-AU"/>
        </w:rPr>
      </w:pPr>
      <w:r w:rsidRPr="005A7BAD">
        <w:rPr>
          <w:lang w:val="en-AU"/>
        </w:rPr>
        <w:t>school formals and dances</w:t>
      </w:r>
    </w:p>
    <w:p w:rsidR="005A7BAD" w:rsidRPr="005A7BAD" w:rsidRDefault="005A7BAD" w:rsidP="005A7BAD">
      <w:pPr>
        <w:numPr>
          <w:ilvl w:val="0"/>
          <w:numId w:val="22"/>
        </w:numPr>
        <w:rPr>
          <w:lang w:val="en-AU"/>
        </w:rPr>
      </w:pPr>
      <w:r w:rsidRPr="005A7BAD">
        <w:rPr>
          <w:lang w:val="en-AU"/>
        </w:rPr>
        <w:t>school award nights or graduations</w:t>
      </w:r>
    </w:p>
    <w:p w:rsidR="005A7BAD" w:rsidRPr="005A7BAD" w:rsidRDefault="005A7BAD" w:rsidP="005A7BAD">
      <w:pPr>
        <w:numPr>
          <w:ilvl w:val="0"/>
          <w:numId w:val="22"/>
        </w:numPr>
        <w:rPr>
          <w:lang w:val="en-AU"/>
        </w:rPr>
      </w:pPr>
      <w:r w:rsidRPr="005A7BAD">
        <w:rPr>
          <w:lang w:val="en-AU"/>
        </w:rPr>
        <w:t>school </w:t>
      </w:r>
      <w:hyperlink r:id="rId28" w:history="1">
        <w:r w:rsidRPr="005A7BAD">
          <w:rPr>
            <w:rStyle w:val="Hyperlink"/>
            <w:lang w:val="en-AU"/>
          </w:rPr>
          <w:t>performances</w:t>
        </w:r>
      </w:hyperlink>
      <w:r w:rsidRPr="005A7BAD">
        <w:rPr>
          <w:lang w:val="en-AU"/>
        </w:rPr>
        <w:t> at music festivals, including music eisteddfods and the NSW Schools Spectacular or equivalent events in other States or Territories</w:t>
      </w:r>
    </w:p>
    <w:p w:rsidR="005A7BAD" w:rsidRPr="005A7BAD" w:rsidRDefault="005A7BAD" w:rsidP="005A7BAD">
      <w:pPr>
        <w:numPr>
          <w:ilvl w:val="0"/>
          <w:numId w:val="22"/>
        </w:numPr>
        <w:rPr>
          <w:lang w:val="en-AU"/>
        </w:rPr>
      </w:pPr>
      <w:r w:rsidRPr="005A7BAD">
        <w:rPr>
          <w:lang w:val="en-AU"/>
        </w:rPr>
        <w:t>use of music-on-hold and</w:t>
      </w:r>
    </w:p>
    <w:p w:rsidR="005A7BAD" w:rsidRPr="005A7BAD" w:rsidRDefault="005A7BAD" w:rsidP="005A7BAD">
      <w:pPr>
        <w:numPr>
          <w:ilvl w:val="0"/>
          <w:numId w:val="22"/>
        </w:numPr>
        <w:rPr>
          <w:lang w:val="en-AU"/>
        </w:rPr>
      </w:pPr>
      <w:r w:rsidRPr="005A7BAD">
        <w:rPr>
          <w:lang w:val="en-AU"/>
        </w:rPr>
        <w:t>playing films to students which contain music where that school has a Co-Curricular </w:t>
      </w:r>
      <w:hyperlink r:id="rId29" w:history="1">
        <w:r w:rsidRPr="005A7BAD">
          <w:rPr>
            <w:rStyle w:val="Hyperlink"/>
            <w:lang w:val="en-AU"/>
          </w:rPr>
          <w:t>Licence</w:t>
        </w:r>
      </w:hyperlink>
      <w:r w:rsidRPr="005A7BAD">
        <w:rPr>
          <w:lang w:val="en-AU"/>
        </w:rPr>
        <w:t>.</w:t>
      </w:r>
    </w:p>
    <w:p w:rsidR="009445C1" w:rsidRDefault="009445C1" w:rsidP="005A7BAD">
      <w:pPr>
        <w:rPr>
          <w:lang w:val="en-AU"/>
        </w:rPr>
      </w:pPr>
    </w:p>
    <w:p w:rsidR="005A7BAD" w:rsidRDefault="005A7BAD" w:rsidP="005A7BAD">
      <w:pPr>
        <w:rPr>
          <w:lang w:val="en-AU"/>
        </w:rPr>
      </w:pPr>
      <w:r w:rsidRPr="005A7BAD">
        <w:rPr>
          <w:lang w:val="en-AU"/>
        </w:rPr>
        <w:t>For further information on the Co-Curricular </w:t>
      </w:r>
      <w:hyperlink r:id="rId30" w:history="1">
        <w:r w:rsidRPr="005A7BAD">
          <w:rPr>
            <w:rStyle w:val="Hyperlink"/>
            <w:lang w:val="en-AU"/>
          </w:rPr>
          <w:t>Licence</w:t>
        </w:r>
      </w:hyperlink>
      <w:r w:rsidRPr="005A7BAD">
        <w:rPr>
          <w:lang w:val="en-AU"/>
        </w:rPr>
        <w:t>, see the following information sheets:</w:t>
      </w:r>
    </w:p>
    <w:p w:rsidR="009445C1" w:rsidRPr="005A7BAD" w:rsidRDefault="009445C1" w:rsidP="005A7BAD">
      <w:pPr>
        <w:rPr>
          <w:lang w:val="en-AU"/>
        </w:rPr>
      </w:pPr>
    </w:p>
    <w:p w:rsidR="005A7BAD" w:rsidRPr="005A7BAD" w:rsidRDefault="005A7BAD" w:rsidP="005A7BAD">
      <w:pPr>
        <w:numPr>
          <w:ilvl w:val="0"/>
          <w:numId w:val="23"/>
        </w:numPr>
        <w:rPr>
          <w:lang w:val="en-AU"/>
        </w:rPr>
      </w:pPr>
      <w:hyperlink r:id="rId31" w:history="1">
        <w:r w:rsidRPr="005A7BAD">
          <w:rPr>
            <w:rStyle w:val="Hyperlink"/>
            <w:lang w:val="en-AU"/>
          </w:rPr>
          <w:t>Playing Films, Television and Radio in Schools</w:t>
        </w:r>
      </w:hyperlink>
      <w:r w:rsidRPr="005A7BAD">
        <w:rPr>
          <w:lang w:val="en-AU"/>
        </w:rPr>
        <w:t> and</w:t>
      </w:r>
    </w:p>
    <w:p w:rsidR="005A7BAD" w:rsidRPr="005A7BAD" w:rsidRDefault="005A7BAD" w:rsidP="005A7BAD">
      <w:pPr>
        <w:numPr>
          <w:ilvl w:val="0"/>
          <w:numId w:val="23"/>
        </w:numPr>
        <w:rPr>
          <w:lang w:val="en-AU"/>
        </w:rPr>
      </w:pPr>
      <w:hyperlink r:id="rId32" w:history="1">
        <w:r w:rsidRPr="005A7BAD">
          <w:rPr>
            <w:rStyle w:val="Hyperlink"/>
            <w:lang w:val="en-AU"/>
          </w:rPr>
          <w:t>Films: Playing for Non-Educational Purposes</w:t>
        </w:r>
      </w:hyperlink>
      <w:r w:rsidRPr="005A7BAD">
        <w:rPr>
          <w:lang w:val="en-AU"/>
        </w:rPr>
        <w:t>.</w:t>
      </w:r>
    </w:p>
    <w:p w:rsidR="009445C1" w:rsidRDefault="009445C1" w:rsidP="005A7BAD">
      <w:pPr>
        <w:rPr>
          <w:b/>
          <w:bCs/>
          <w:lang w:val="en-AU"/>
        </w:rPr>
      </w:pPr>
    </w:p>
    <w:p w:rsidR="005A7BAD" w:rsidRPr="009445C1" w:rsidRDefault="005A7BAD" w:rsidP="005A7BAD">
      <w:pPr>
        <w:rPr>
          <w:b/>
          <w:bCs/>
          <w:sz w:val="28"/>
          <w:szCs w:val="28"/>
          <w:lang w:val="en-AU"/>
        </w:rPr>
      </w:pPr>
      <w:r w:rsidRPr="009445C1">
        <w:rPr>
          <w:b/>
          <w:bCs/>
          <w:sz w:val="28"/>
          <w:szCs w:val="28"/>
          <w:lang w:val="en-AU"/>
        </w:rPr>
        <w:t>Can admission fees be charged for the performances?</w:t>
      </w:r>
    </w:p>
    <w:p w:rsidR="009445C1" w:rsidRDefault="009445C1" w:rsidP="005A7BAD">
      <w:pPr>
        <w:rPr>
          <w:lang w:val="en-AU"/>
        </w:rPr>
      </w:pPr>
    </w:p>
    <w:p w:rsidR="005A7BAD" w:rsidRPr="005A7BAD" w:rsidRDefault="005A7BAD" w:rsidP="005A7BAD">
      <w:pPr>
        <w:rPr>
          <w:lang w:val="en-AU"/>
        </w:rPr>
      </w:pPr>
      <w:r w:rsidRPr="005A7BAD">
        <w:rPr>
          <w:lang w:val="en-AU"/>
        </w:rPr>
        <w:t>A school can charge admission fees for </w:t>
      </w:r>
      <w:hyperlink r:id="rId33" w:history="1">
        <w:r w:rsidRPr="005A7BAD">
          <w:rPr>
            <w:rStyle w:val="Hyperlink"/>
            <w:lang w:val="en-AU"/>
          </w:rPr>
          <w:t>performances</w:t>
        </w:r>
      </w:hyperlink>
      <w:r w:rsidRPr="005A7BAD">
        <w:rPr>
          <w:lang w:val="en-AU"/>
        </w:rPr>
        <w:t> under the </w:t>
      </w:r>
      <w:hyperlink r:id="rId34" w:history="1">
        <w:r w:rsidRPr="005A7BAD">
          <w:rPr>
            <w:rStyle w:val="Hyperlink"/>
            <w:lang w:val="en-AU"/>
          </w:rPr>
          <w:t>APRA Licence</w:t>
        </w:r>
      </w:hyperlink>
      <w:r w:rsidRPr="005A7BAD">
        <w:rPr>
          <w:lang w:val="en-AU"/>
        </w:rPr>
        <w:t> provided the majority of proceeds made go back to the school or to a charity.</w:t>
      </w:r>
    </w:p>
    <w:p w:rsidR="009445C1" w:rsidRDefault="009445C1" w:rsidP="005A7BAD">
      <w:pPr>
        <w:rPr>
          <w:b/>
          <w:bCs/>
          <w:lang w:val="en-AU"/>
        </w:rPr>
      </w:pPr>
    </w:p>
    <w:p w:rsidR="005A7BAD" w:rsidRPr="009445C1" w:rsidRDefault="005A7BAD" w:rsidP="005A7BAD">
      <w:pPr>
        <w:rPr>
          <w:b/>
          <w:bCs/>
          <w:sz w:val="28"/>
          <w:szCs w:val="28"/>
          <w:lang w:val="en-AU"/>
        </w:rPr>
      </w:pPr>
      <w:r w:rsidRPr="009445C1">
        <w:rPr>
          <w:b/>
          <w:bCs/>
          <w:sz w:val="28"/>
          <w:szCs w:val="28"/>
          <w:lang w:val="en-AU"/>
        </w:rPr>
        <w:t>Does the APRA Licence apply to performances by professional musicians?</w:t>
      </w:r>
    </w:p>
    <w:p w:rsidR="009445C1" w:rsidRDefault="009445C1" w:rsidP="005A7BAD">
      <w:pPr>
        <w:rPr>
          <w:lang w:val="en-AU"/>
        </w:rPr>
      </w:pPr>
    </w:p>
    <w:p w:rsidR="009445C1" w:rsidRPr="009445C1" w:rsidRDefault="005A7BAD" w:rsidP="005A7BAD">
      <w:pPr>
        <w:rPr>
          <w:lang w:val="en-AU"/>
        </w:rPr>
      </w:pPr>
      <w:r w:rsidRPr="005A7BAD">
        <w:rPr>
          <w:lang w:val="en-AU"/>
        </w:rPr>
        <w:t>The </w:t>
      </w:r>
      <w:hyperlink r:id="rId35" w:history="1">
        <w:r w:rsidRPr="005A7BAD">
          <w:rPr>
            <w:rStyle w:val="Hyperlink"/>
            <w:lang w:val="en-AU"/>
          </w:rPr>
          <w:t>APRA Licence</w:t>
        </w:r>
      </w:hyperlink>
      <w:r w:rsidRPr="005A7BAD">
        <w:rPr>
          <w:lang w:val="en-AU"/>
        </w:rPr>
        <w:t> will apply where professional musicians </w:t>
      </w:r>
      <w:hyperlink r:id="rId36" w:history="1">
        <w:r w:rsidRPr="005A7BAD">
          <w:rPr>
            <w:rStyle w:val="Hyperlink"/>
            <w:lang w:val="en-AU"/>
          </w:rPr>
          <w:t>perform</w:t>
        </w:r>
      </w:hyperlink>
      <w:r w:rsidRPr="005A7BAD">
        <w:rPr>
          <w:lang w:val="en-AU"/>
        </w:rPr>
        <w:t> music at the school or any event connected with school activities. Where admission fees are charged, the majority of proceeds made must go back to the school or to charity.</w:t>
      </w:r>
    </w:p>
    <w:p w:rsidR="009445C1" w:rsidRDefault="009445C1" w:rsidP="005A7BAD">
      <w:pPr>
        <w:rPr>
          <w:b/>
          <w:bCs/>
          <w:lang w:val="en-AU"/>
        </w:rPr>
      </w:pPr>
    </w:p>
    <w:p w:rsidR="005A7BAD" w:rsidRPr="009445C1" w:rsidRDefault="005A7BAD" w:rsidP="005A7BAD">
      <w:pPr>
        <w:rPr>
          <w:b/>
          <w:bCs/>
          <w:sz w:val="28"/>
          <w:szCs w:val="28"/>
          <w:lang w:val="en-AU"/>
        </w:rPr>
      </w:pPr>
      <w:r w:rsidRPr="009445C1">
        <w:rPr>
          <w:b/>
          <w:bCs/>
          <w:sz w:val="28"/>
          <w:szCs w:val="28"/>
          <w:lang w:val="en-AU"/>
        </w:rPr>
        <w:t>Performances requiring APRA’s prior approval</w:t>
      </w:r>
    </w:p>
    <w:p w:rsidR="009445C1" w:rsidRDefault="009445C1" w:rsidP="005A7BAD">
      <w:pPr>
        <w:rPr>
          <w:lang w:val="en-AU"/>
        </w:rPr>
      </w:pPr>
    </w:p>
    <w:p w:rsidR="005A7BAD" w:rsidRDefault="005A7BAD" w:rsidP="005A7BAD">
      <w:pPr>
        <w:rPr>
          <w:lang w:val="en-AU"/>
        </w:rPr>
      </w:pPr>
      <w:r w:rsidRPr="005A7BAD">
        <w:rPr>
          <w:lang w:val="en-AU"/>
        </w:rPr>
        <w:t>A secondary school will need to seek </w:t>
      </w:r>
      <w:hyperlink r:id="rId37" w:history="1">
        <w:r w:rsidRPr="005A7BAD">
          <w:rPr>
            <w:rStyle w:val="Hyperlink"/>
            <w:lang w:val="en-AU"/>
          </w:rPr>
          <w:t>APRA’s</w:t>
        </w:r>
      </w:hyperlink>
      <w:r w:rsidRPr="005A7BAD">
        <w:rPr>
          <w:lang w:val="en-AU"/>
        </w:rPr>
        <w:t> prior written approval (which must not be unreasonably withheld) where:</w:t>
      </w:r>
    </w:p>
    <w:p w:rsidR="009445C1" w:rsidRPr="005A7BAD" w:rsidRDefault="009445C1" w:rsidP="005A7BAD">
      <w:pPr>
        <w:rPr>
          <w:lang w:val="en-AU"/>
        </w:rPr>
      </w:pPr>
    </w:p>
    <w:p w:rsidR="005A7BAD" w:rsidRPr="005A7BAD" w:rsidRDefault="005A7BAD" w:rsidP="005A7BAD">
      <w:pPr>
        <w:numPr>
          <w:ilvl w:val="0"/>
          <w:numId w:val="24"/>
        </w:numPr>
        <w:rPr>
          <w:lang w:val="en-AU"/>
        </w:rPr>
      </w:pPr>
      <w:r w:rsidRPr="005A7BAD">
        <w:rPr>
          <w:lang w:val="en-AU"/>
        </w:rPr>
        <w:t>the </w:t>
      </w:r>
      <w:hyperlink r:id="rId38" w:history="1">
        <w:r w:rsidRPr="005A7BAD">
          <w:rPr>
            <w:rStyle w:val="Hyperlink"/>
            <w:lang w:val="en-AU"/>
          </w:rPr>
          <w:t>performance</w:t>
        </w:r>
      </w:hyperlink>
      <w:r w:rsidRPr="005A7BAD">
        <w:rPr>
          <w:lang w:val="en-AU"/>
        </w:rPr>
        <w:t> is in a </w:t>
      </w:r>
      <w:hyperlink r:id="rId39" w:history="1">
        <w:r w:rsidRPr="005A7BAD">
          <w:rPr>
            <w:rStyle w:val="Hyperlink"/>
            <w:lang w:val="en-AU"/>
          </w:rPr>
          <w:t>dramatic context</w:t>
        </w:r>
      </w:hyperlink>
      <w:r w:rsidRPr="005A7BAD">
        <w:rPr>
          <w:lang w:val="en-AU"/>
        </w:rPr>
        <w:t>. </w:t>
      </w:r>
      <w:hyperlink r:id="rId40" w:history="1">
        <w:r w:rsidRPr="005A7BAD">
          <w:rPr>
            <w:rStyle w:val="Hyperlink"/>
            <w:lang w:val="en-AU"/>
          </w:rPr>
          <w:t>Dramatic context</w:t>
        </w:r>
      </w:hyperlink>
      <w:r w:rsidRPr="005A7BAD">
        <w:rPr>
          <w:lang w:val="en-AU"/>
        </w:rPr>
        <w:t> includes acting, costumes, scenic accessories, scripted dialogue or other dramatic effects. This includes ballets.</w:t>
      </w:r>
    </w:p>
    <w:p w:rsidR="005A7BAD" w:rsidRPr="005A7BAD" w:rsidRDefault="005A7BAD" w:rsidP="005A7BAD">
      <w:pPr>
        <w:numPr>
          <w:ilvl w:val="0"/>
          <w:numId w:val="24"/>
        </w:numPr>
        <w:rPr>
          <w:lang w:val="en-AU"/>
        </w:rPr>
      </w:pPr>
      <w:r w:rsidRPr="005A7BAD">
        <w:rPr>
          <w:lang w:val="en-AU"/>
        </w:rPr>
        <w:t>admission fees are charged and</w:t>
      </w:r>
    </w:p>
    <w:p w:rsidR="005A7BAD" w:rsidRPr="005A7BAD" w:rsidRDefault="005A7BAD" w:rsidP="005A7BAD">
      <w:pPr>
        <w:numPr>
          <w:ilvl w:val="0"/>
          <w:numId w:val="24"/>
        </w:numPr>
        <w:rPr>
          <w:lang w:val="en-AU"/>
        </w:rPr>
      </w:pPr>
      <w:r w:rsidRPr="005A7BAD">
        <w:rPr>
          <w:lang w:val="en-AU"/>
        </w:rPr>
        <w:t>the </w:t>
      </w:r>
      <w:hyperlink r:id="rId41" w:history="1">
        <w:r w:rsidRPr="005A7BAD">
          <w:rPr>
            <w:rStyle w:val="Hyperlink"/>
            <w:lang w:val="en-AU"/>
          </w:rPr>
          <w:t>performance</w:t>
        </w:r>
      </w:hyperlink>
      <w:r w:rsidRPr="005A7BAD">
        <w:rPr>
          <w:lang w:val="en-AU"/>
        </w:rPr>
        <w:t> is advertised or promoted outside the school community.</w:t>
      </w:r>
    </w:p>
    <w:p w:rsidR="009445C1" w:rsidRDefault="009445C1" w:rsidP="005A7BAD">
      <w:pPr>
        <w:rPr>
          <w:lang w:val="en-AU"/>
        </w:rPr>
      </w:pPr>
    </w:p>
    <w:p w:rsidR="005A7BAD" w:rsidRPr="005A7BAD" w:rsidRDefault="005A7BAD" w:rsidP="005A7BAD">
      <w:pPr>
        <w:rPr>
          <w:lang w:val="en-AU"/>
        </w:rPr>
      </w:pPr>
      <w:r w:rsidRPr="005A7BAD">
        <w:rPr>
          <w:lang w:val="en-AU"/>
        </w:rPr>
        <w:t>The school community includes the students, teachers, staff and parents of the school.</w:t>
      </w:r>
    </w:p>
    <w:p w:rsidR="009445C1" w:rsidRDefault="009445C1" w:rsidP="005A7BAD">
      <w:pPr>
        <w:rPr>
          <w:lang w:val="en-AU"/>
        </w:rPr>
      </w:pPr>
    </w:p>
    <w:p w:rsidR="005A7BAD" w:rsidRPr="005A7BAD" w:rsidRDefault="005A7BAD" w:rsidP="005A7BAD">
      <w:pPr>
        <w:rPr>
          <w:lang w:val="en-AU"/>
        </w:rPr>
      </w:pPr>
      <w:r w:rsidRPr="005A7BAD">
        <w:rPr>
          <w:lang w:val="en-AU"/>
        </w:rPr>
        <w:t>Contact </w:t>
      </w:r>
      <w:hyperlink r:id="rId42" w:history="1">
        <w:r w:rsidRPr="005A7BAD">
          <w:rPr>
            <w:rStyle w:val="Hyperlink"/>
            <w:lang w:val="en-AU"/>
          </w:rPr>
          <w:t>your local copyright advisor</w:t>
        </w:r>
      </w:hyperlink>
      <w:r w:rsidRPr="005A7BAD">
        <w:rPr>
          <w:lang w:val="en-AU"/>
        </w:rPr>
        <w:t> for assistance in obtaining </w:t>
      </w:r>
      <w:hyperlink r:id="rId43" w:history="1">
        <w:r w:rsidRPr="005A7BAD">
          <w:rPr>
            <w:rStyle w:val="Hyperlink"/>
            <w:lang w:val="en-AU"/>
          </w:rPr>
          <w:t>APRA’s</w:t>
        </w:r>
      </w:hyperlink>
      <w:r w:rsidRPr="005A7BAD">
        <w:rPr>
          <w:lang w:val="en-AU"/>
        </w:rPr>
        <w:t> prior written approval.</w:t>
      </w:r>
    </w:p>
    <w:p w:rsidR="009445C1" w:rsidRDefault="009445C1" w:rsidP="005A7BAD">
      <w:pPr>
        <w:rPr>
          <w:b/>
          <w:bCs/>
          <w:lang w:val="en-AU"/>
        </w:rPr>
      </w:pPr>
    </w:p>
    <w:p w:rsidR="005A7BAD" w:rsidRPr="009445C1" w:rsidRDefault="005A7BAD" w:rsidP="005A7BAD">
      <w:pPr>
        <w:rPr>
          <w:b/>
          <w:bCs/>
          <w:sz w:val="28"/>
          <w:szCs w:val="28"/>
          <w:lang w:val="en-AU"/>
        </w:rPr>
      </w:pPr>
      <w:r w:rsidRPr="009445C1">
        <w:rPr>
          <w:b/>
          <w:bCs/>
          <w:sz w:val="28"/>
          <w:szCs w:val="28"/>
          <w:lang w:val="en-AU"/>
        </w:rPr>
        <w:t>What does the APRA Licence not cover?</w:t>
      </w:r>
    </w:p>
    <w:p w:rsidR="009445C1" w:rsidRDefault="009445C1" w:rsidP="005A7BAD">
      <w:pPr>
        <w:rPr>
          <w:lang w:val="en-AU"/>
        </w:rPr>
      </w:pPr>
    </w:p>
    <w:p w:rsidR="005A7BAD" w:rsidRDefault="005A7BAD" w:rsidP="005A7BAD">
      <w:pPr>
        <w:rPr>
          <w:lang w:val="en-AU"/>
        </w:rPr>
      </w:pPr>
      <w:r w:rsidRPr="005A7BAD">
        <w:rPr>
          <w:lang w:val="en-AU"/>
        </w:rPr>
        <w:t>The </w:t>
      </w:r>
      <w:hyperlink r:id="rId44" w:history="1">
        <w:r w:rsidRPr="005A7BAD">
          <w:rPr>
            <w:rStyle w:val="Hyperlink"/>
            <w:lang w:val="en-AU"/>
          </w:rPr>
          <w:t>APRA Licence</w:t>
        </w:r>
      </w:hyperlink>
      <w:r w:rsidRPr="005A7BAD">
        <w:rPr>
          <w:lang w:val="en-AU"/>
        </w:rPr>
        <w:t> does not cover the following:</w:t>
      </w:r>
    </w:p>
    <w:p w:rsidR="009445C1" w:rsidRPr="005A7BAD" w:rsidRDefault="009445C1" w:rsidP="005A7BAD">
      <w:pPr>
        <w:rPr>
          <w:lang w:val="en-AU"/>
        </w:rPr>
      </w:pPr>
      <w:bookmarkStart w:id="0" w:name="_GoBack"/>
      <w:bookmarkEnd w:id="0"/>
    </w:p>
    <w:p w:rsidR="005A7BAD" w:rsidRPr="005A7BAD" w:rsidRDefault="005A7BAD" w:rsidP="005A7BAD">
      <w:pPr>
        <w:numPr>
          <w:ilvl w:val="0"/>
          <w:numId w:val="25"/>
        </w:numPr>
        <w:rPr>
          <w:lang w:val="en-AU"/>
        </w:rPr>
      </w:pPr>
      <w:hyperlink r:id="rId45" w:history="1">
        <w:r w:rsidRPr="005A7BAD">
          <w:rPr>
            <w:rStyle w:val="Hyperlink"/>
            <w:lang w:val="en-AU"/>
          </w:rPr>
          <w:t>performance</w:t>
        </w:r>
      </w:hyperlink>
      <w:r w:rsidRPr="005A7BAD">
        <w:rPr>
          <w:lang w:val="en-AU"/>
        </w:rPr>
        <w:t> of </w:t>
      </w:r>
      <w:hyperlink r:id="rId46" w:history="1">
        <w:r w:rsidRPr="005A7BAD">
          <w:rPr>
            <w:rStyle w:val="Hyperlink"/>
            <w:lang w:val="en-AU"/>
          </w:rPr>
          <w:t>Grand Right Works</w:t>
        </w:r>
      </w:hyperlink>
      <w:r w:rsidRPr="005A7BAD">
        <w:rPr>
          <w:lang w:val="en-AU"/>
        </w:rPr>
        <w:t> in their entirety (unless performed in a </w:t>
      </w:r>
      <w:hyperlink r:id="rId47" w:history="1">
        <w:r w:rsidRPr="005A7BAD">
          <w:rPr>
            <w:rStyle w:val="Hyperlink"/>
            <w:lang w:val="en-AU"/>
          </w:rPr>
          <w:t>film</w:t>
        </w:r>
      </w:hyperlink>
      <w:r w:rsidRPr="005A7BAD">
        <w:rPr>
          <w:lang w:val="en-AU"/>
        </w:rPr>
        <w:t> played under the Co-Curricular </w:t>
      </w:r>
      <w:hyperlink r:id="rId48" w:history="1">
        <w:r w:rsidRPr="005A7BAD">
          <w:rPr>
            <w:rStyle w:val="Hyperlink"/>
            <w:lang w:val="en-AU"/>
          </w:rPr>
          <w:t>Licence</w:t>
        </w:r>
      </w:hyperlink>
      <w:r w:rsidRPr="005A7BAD">
        <w:rPr>
          <w:lang w:val="en-AU"/>
        </w:rPr>
        <w:t>). A </w:t>
      </w:r>
      <w:hyperlink r:id="rId49" w:history="1">
        <w:r w:rsidRPr="005A7BAD">
          <w:rPr>
            <w:rStyle w:val="Hyperlink"/>
            <w:lang w:val="en-AU"/>
          </w:rPr>
          <w:t>Grand Right Work</w:t>
        </w:r>
      </w:hyperlink>
      <w:r w:rsidRPr="005A7BAD">
        <w:rPr>
          <w:lang w:val="en-AU"/>
        </w:rPr>
        <w:t> refers to the </w:t>
      </w:r>
      <w:hyperlink r:id="rId50" w:history="1">
        <w:r w:rsidRPr="005A7BAD">
          <w:rPr>
            <w:rStyle w:val="Hyperlink"/>
            <w:lang w:val="en-AU"/>
          </w:rPr>
          <w:t>musical works</w:t>
        </w:r>
      </w:hyperlink>
      <w:r w:rsidRPr="005A7BAD">
        <w:rPr>
          <w:lang w:val="en-AU"/>
        </w:rPr>
        <w:t> and associated lyrics written expressly for an opera, operetta, musical play, revue or pantomime.</w:t>
      </w:r>
    </w:p>
    <w:p w:rsidR="005A7BAD" w:rsidRPr="005A7BAD" w:rsidRDefault="005A7BAD" w:rsidP="005A7BAD">
      <w:pPr>
        <w:numPr>
          <w:ilvl w:val="0"/>
          <w:numId w:val="25"/>
        </w:numPr>
        <w:rPr>
          <w:lang w:val="en-AU"/>
        </w:rPr>
      </w:pPr>
      <w:hyperlink r:id="rId51" w:history="1">
        <w:r w:rsidRPr="005A7BAD">
          <w:rPr>
            <w:rStyle w:val="Hyperlink"/>
            <w:lang w:val="en-AU"/>
          </w:rPr>
          <w:t>performance</w:t>
        </w:r>
      </w:hyperlink>
      <w:r w:rsidRPr="005A7BAD">
        <w:rPr>
          <w:lang w:val="en-AU"/>
        </w:rPr>
        <w:t> of a </w:t>
      </w:r>
      <w:hyperlink r:id="rId52" w:history="1">
        <w:r w:rsidRPr="005A7BAD">
          <w:rPr>
            <w:rStyle w:val="Hyperlink"/>
            <w:lang w:val="en-AU"/>
          </w:rPr>
          <w:t>Choral Work</w:t>
        </w:r>
      </w:hyperlink>
      <w:r w:rsidRPr="005A7BAD">
        <w:rPr>
          <w:lang w:val="en-AU"/>
        </w:rPr>
        <w:t> of more than 20 minutes duration (unless performed in a </w:t>
      </w:r>
      <w:hyperlink r:id="rId53" w:history="1">
        <w:r w:rsidRPr="005A7BAD">
          <w:rPr>
            <w:rStyle w:val="Hyperlink"/>
            <w:lang w:val="en-AU"/>
          </w:rPr>
          <w:t>film</w:t>
        </w:r>
      </w:hyperlink>
      <w:r w:rsidRPr="005A7BAD">
        <w:rPr>
          <w:lang w:val="en-AU"/>
        </w:rPr>
        <w:t> played under the Co-Curricular </w:t>
      </w:r>
      <w:hyperlink r:id="rId54" w:history="1">
        <w:r w:rsidRPr="005A7BAD">
          <w:rPr>
            <w:rStyle w:val="Hyperlink"/>
            <w:lang w:val="en-AU"/>
          </w:rPr>
          <w:t>Licence</w:t>
        </w:r>
      </w:hyperlink>
      <w:r w:rsidRPr="005A7BAD">
        <w:rPr>
          <w:lang w:val="en-AU"/>
        </w:rPr>
        <w:t>). A </w:t>
      </w:r>
      <w:hyperlink r:id="rId55" w:history="1">
        <w:r w:rsidRPr="005A7BAD">
          <w:rPr>
            <w:rStyle w:val="Hyperlink"/>
            <w:lang w:val="en-AU"/>
          </w:rPr>
          <w:t>Choral Work</w:t>
        </w:r>
      </w:hyperlink>
      <w:r w:rsidRPr="005A7BAD">
        <w:rPr>
          <w:lang w:val="en-AU"/>
        </w:rPr>
        <w:t> refers to a work written to be sung by a choir or other group of singers, with or without instrumental accompaniment.</w:t>
      </w:r>
    </w:p>
    <w:p w:rsidR="005A7BAD" w:rsidRPr="005A7BAD" w:rsidRDefault="005A7BAD" w:rsidP="005A7BAD">
      <w:pPr>
        <w:numPr>
          <w:ilvl w:val="0"/>
          <w:numId w:val="25"/>
        </w:numPr>
        <w:rPr>
          <w:lang w:val="en-AU"/>
        </w:rPr>
      </w:pPr>
      <w:r w:rsidRPr="005A7BAD">
        <w:rPr>
          <w:lang w:val="en-AU"/>
        </w:rPr>
        <w:t>Rock Eisteddfod Challenge</w:t>
      </w:r>
    </w:p>
    <w:p w:rsidR="005A7BAD" w:rsidRPr="005A7BAD" w:rsidRDefault="005A7BAD" w:rsidP="005A7BAD">
      <w:pPr>
        <w:numPr>
          <w:ilvl w:val="0"/>
          <w:numId w:val="25"/>
        </w:numPr>
        <w:rPr>
          <w:lang w:val="en-AU"/>
        </w:rPr>
      </w:pPr>
      <w:hyperlink r:id="rId56" w:history="1">
        <w:r w:rsidRPr="005A7BAD">
          <w:rPr>
            <w:rStyle w:val="Hyperlink"/>
            <w:lang w:val="en-AU"/>
          </w:rPr>
          <w:t>performances</w:t>
        </w:r>
      </w:hyperlink>
      <w:r w:rsidRPr="005A7BAD">
        <w:rPr>
          <w:lang w:val="en-AU"/>
        </w:rPr>
        <w:t> produced by a third party not associated or connected with the school, unless </w:t>
      </w:r>
      <w:hyperlink r:id="rId57" w:history="1">
        <w:r w:rsidRPr="005A7BAD">
          <w:rPr>
            <w:rStyle w:val="Hyperlink"/>
            <w:lang w:val="en-AU"/>
          </w:rPr>
          <w:t>APRA’s</w:t>
        </w:r>
      </w:hyperlink>
      <w:r w:rsidRPr="005A7BAD">
        <w:rPr>
          <w:lang w:val="en-AU"/>
        </w:rPr>
        <w:t> prior written approval has been obtained</w:t>
      </w:r>
    </w:p>
    <w:p w:rsidR="005A7BAD" w:rsidRPr="005A7BAD" w:rsidRDefault="005A7BAD" w:rsidP="005A7BAD">
      <w:pPr>
        <w:numPr>
          <w:ilvl w:val="0"/>
          <w:numId w:val="25"/>
        </w:numPr>
        <w:rPr>
          <w:lang w:val="en-AU"/>
        </w:rPr>
      </w:pPr>
      <w:hyperlink r:id="rId58" w:history="1">
        <w:r w:rsidRPr="005A7BAD">
          <w:rPr>
            <w:rStyle w:val="Hyperlink"/>
            <w:lang w:val="en-AU"/>
          </w:rPr>
          <w:t>performances</w:t>
        </w:r>
      </w:hyperlink>
      <w:r w:rsidRPr="005A7BAD">
        <w:rPr>
          <w:lang w:val="en-AU"/>
        </w:rPr>
        <w:t> where admission fees are charged and the majority of proceeds do not go back to the school or a charity and</w:t>
      </w:r>
    </w:p>
    <w:p w:rsidR="005A7BAD" w:rsidRPr="005A7BAD" w:rsidRDefault="005A7BAD" w:rsidP="005A7BAD">
      <w:pPr>
        <w:numPr>
          <w:ilvl w:val="0"/>
          <w:numId w:val="25"/>
        </w:numPr>
        <w:rPr>
          <w:lang w:val="en-AU"/>
        </w:rPr>
      </w:pPr>
      <w:r w:rsidRPr="005A7BAD">
        <w:rPr>
          <w:lang w:val="en-AU"/>
        </w:rPr>
        <w:t>transmission of a </w:t>
      </w:r>
      <w:hyperlink r:id="rId59" w:history="1">
        <w:r w:rsidRPr="005A7BAD">
          <w:rPr>
            <w:rStyle w:val="Hyperlink"/>
            <w:lang w:val="en-AU"/>
          </w:rPr>
          <w:t>performance</w:t>
        </w:r>
      </w:hyperlink>
      <w:r w:rsidRPr="005A7BAD">
        <w:rPr>
          <w:lang w:val="en-AU"/>
        </w:rPr>
        <w:t> beyond the school.</w:t>
      </w:r>
    </w:p>
    <w:p w:rsidR="00CE60D5" w:rsidRPr="00CE60D5" w:rsidRDefault="00CE60D5" w:rsidP="00CE60D5"/>
    <w:sectPr w:rsidR="00CE60D5" w:rsidRPr="00CE60D5" w:rsidSect="00F4711C">
      <w:headerReference w:type="default" r:id="rId60"/>
      <w:footerReference w:type="default" r:id="rId61"/>
      <w:footerReference w:type="first" r:id="rI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059" w:rsidRDefault="008E4059" w:rsidP="004A6BC1">
      <w:pPr>
        <w:spacing w:line="240" w:lineRule="auto"/>
      </w:pPr>
      <w:r>
        <w:separator/>
      </w:r>
    </w:p>
  </w:endnote>
  <w:endnote w:type="continuationSeparator" w:id="0">
    <w:p w:rsidR="008E4059" w:rsidRDefault="008E4059"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8E4059"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059" w:rsidRDefault="008E4059" w:rsidP="004A6BC1">
      <w:pPr>
        <w:spacing w:line="240" w:lineRule="auto"/>
      </w:pPr>
      <w:r>
        <w:separator/>
      </w:r>
    </w:p>
  </w:footnote>
  <w:footnote w:type="continuationSeparator" w:id="0">
    <w:p w:rsidR="008E4059" w:rsidRDefault="008E4059"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4165A"/>
    <w:multiLevelType w:val="multilevel"/>
    <w:tmpl w:val="70FA8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9C1699"/>
    <w:multiLevelType w:val="multilevel"/>
    <w:tmpl w:val="2E68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4079A"/>
    <w:multiLevelType w:val="multilevel"/>
    <w:tmpl w:val="B61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187779"/>
    <w:multiLevelType w:val="multilevel"/>
    <w:tmpl w:val="4ABC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0308B1"/>
    <w:multiLevelType w:val="multilevel"/>
    <w:tmpl w:val="2648F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9E0AF6"/>
    <w:multiLevelType w:val="multilevel"/>
    <w:tmpl w:val="5444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9"/>
  </w:num>
  <w:num w:numId="3">
    <w:abstractNumId w:val="7"/>
  </w:num>
  <w:num w:numId="4">
    <w:abstractNumId w:val="6"/>
  </w:num>
  <w:num w:numId="5">
    <w:abstractNumId w:val="11"/>
    <w:lvlOverride w:ilvl="0">
      <w:lvl w:ilvl="0">
        <w:numFmt w:val="decimal"/>
        <w:lvlText w:val="%1."/>
        <w:lvlJc w:val="left"/>
      </w:lvl>
    </w:lvlOverride>
  </w:num>
  <w:num w:numId="6">
    <w:abstractNumId w:val="0"/>
  </w:num>
  <w:num w:numId="7">
    <w:abstractNumId w:val="9"/>
  </w:num>
  <w:num w:numId="8">
    <w:abstractNumId w:val="9"/>
    <w:lvlOverride w:ilvl="2">
      <w:lvl w:ilvl="2">
        <w:numFmt w:val="decimal"/>
        <w:lvlText w:val="%3."/>
        <w:lvlJc w:val="left"/>
      </w:lvl>
    </w:lvlOverride>
  </w:num>
  <w:num w:numId="9">
    <w:abstractNumId w:val="4"/>
  </w:num>
  <w:num w:numId="10">
    <w:abstractNumId w:val="12"/>
  </w:num>
  <w:num w:numId="11">
    <w:abstractNumId w:val="15"/>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17"/>
  </w:num>
  <w:num w:numId="14">
    <w:abstractNumId w:val="1"/>
  </w:num>
  <w:num w:numId="15">
    <w:abstractNumId w:val="18"/>
    <w:lvlOverride w:ilvl="0">
      <w:lvl w:ilvl="0">
        <w:numFmt w:val="decimal"/>
        <w:lvlText w:val="%1."/>
        <w:lvlJc w:val="left"/>
      </w:lvl>
    </w:lvlOverride>
  </w:num>
  <w:num w:numId="16">
    <w:abstractNumId w:val="22"/>
  </w:num>
  <w:num w:numId="17">
    <w:abstractNumId w:val="10"/>
  </w:num>
  <w:num w:numId="18">
    <w:abstractNumId w:val="23"/>
  </w:num>
  <w:num w:numId="19">
    <w:abstractNumId w:val="21"/>
  </w:num>
  <w:num w:numId="20">
    <w:abstractNumId w:val="3"/>
  </w:num>
  <w:num w:numId="21">
    <w:abstractNumId w:val="20"/>
  </w:num>
  <w:num w:numId="22">
    <w:abstractNumId w:val="5"/>
  </w:num>
  <w:num w:numId="23">
    <w:abstractNumId w:val="16"/>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1724B6"/>
    <w:rsid w:val="001B5334"/>
    <w:rsid w:val="00426FA0"/>
    <w:rsid w:val="00471F71"/>
    <w:rsid w:val="004A6BC1"/>
    <w:rsid w:val="00576136"/>
    <w:rsid w:val="005A7BAD"/>
    <w:rsid w:val="005E7185"/>
    <w:rsid w:val="00602CEB"/>
    <w:rsid w:val="006313DA"/>
    <w:rsid w:val="00714101"/>
    <w:rsid w:val="00746AF6"/>
    <w:rsid w:val="008E4059"/>
    <w:rsid w:val="008F1FC9"/>
    <w:rsid w:val="009445C1"/>
    <w:rsid w:val="00A215E7"/>
    <w:rsid w:val="00AC7609"/>
    <w:rsid w:val="00BA7D6D"/>
    <w:rsid w:val="00C50477"/>
    <w:rsid w:val="00CE60D5"/>
    <w:rsid w:val="00D54827"/>
    <w:rsid w:val="00D55D15"/>
    <w:rsid w:val="00D6773A"/>
    <w:rsid w:val="00DB5C76"/>
    <w:rsid w:val="00E01BB6"/>
    <w:rsid w:val="00F16283"/>
    <w:rsid w:val="00F4711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A8396"/>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980691709">
      <w:bodyDiv w:val="1"/>
      <w:marLeft w:val="0"/>
      <w:marRight w:val="0"/>
      <w:marTop w:val="0"/>
      <w:marBottom w:val="0"/>
      <w:divBdr>
        <w:top w:val="none" w:sz="0" w:space="0" w:color="auto"/>
        <w:left w:val="none" w:sz="0" w:space="0" w:color="auto"/>
        <w:bottom w:val="none" w:sz="0" w:space="0" w:color="auto"/>
        <w:right w:val="none" w:sz="0" w:space="0" w:color="auto"/>
      </w:divBdr>
      <w:divsChild>
        <w:div w:id="1436056533">
          <w:marLeft w:val="0"/>
          <w:marRight w:val="0"/>
          <w:marTop w:val="0"/>
          <w:marBottom w:val="0"/>
          <w:divBdr>
            <w:top w:val="single" w:sz="2" w:space="0" w:color="auto"/>
            <w:left w:val="single" w:sz="2" w:space="0" w:color="auto"/>
            <w:bottom w:val="single" w:sz="2" w:space="0" w:color="auto"/>
            <w:right w:val="single" w:sz="2" w:space="0" w:color="auto"/>
          </w:divBdr>
        </w:div>
      </w:divsChild>
    </w:div>
    <w:div w:id="1132865962">
      <w:bodyDiv w:val="1"/>
      <w:marLeft w:val="0"/>
      <w:marRight w:val="0"/>
      <w:marTop w:val="0"/>
      <w:marBottom w:val="0"/>
      <w:divBdr>
        <w:top w:val="none" w:sz="0" w:space="0" w:color="auto"/>
        <w:left w:val="none" w:sz="0" w:space="0" w:color="auto"/>
        <w:bottom w:val="none" w:sz="0" w:space="0" w:color="auto"/>
        <w:right w:val="none" w:sz="0" w:space="0" w:color="auto"/>
      </w:divBdr>
      <w:divsChild>
        <w:div w:id="515727205">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performance-and-communication-of-copyright-material-in-class/" TargetMode="External"/><Relationship Id="rId18" Type="http://schemas.openxmlformats.org/officeDocument/2006/relationships/hyperlink" Target="https://smartcopying.edu.au/glossary/apra-licence/" TargetMode="External"/><Relationship Id="rId26" Type="http://schemas.openxmlformats.org/officeDocument/2006/relationships/hyperlink" Target="https://smartcopying.edu.au/glossary/apra-licence/" TargetMode="External"/><Relationship Id="rId39" Type="http://schemas.openxmlformats.org/officeDocument/2006/relationships/hyperlink" Target="https://smartcopying.edu.au/glossary/dramatic-context/" TargetMode="External"/><Relationship Id="rId21" Type="http://schemas.openxmlformats.org/officeDocument/2006/relationships/hyperlink" Target="https://smartcopying.edu.au/glossary/author/" TargetMode="External"/><Relationship Id="rId34" Type="http://schemas.openxmlformats.org/officeDocument/2006/relationships/hyperlink" Target="https://smartcopying.edu.au/glossary/apra-licence/" TargetMode="External"/><Relationship Id="rId42" Type="http://schemas.openxmlformats.org/officeDocument/2006/relationships/hyperlink" Target="https://smartcopying.edu.au/contact-us/" TargetMode="External"/><Relationship Id="rId47" Type="http://schemas.openxmlformats.org/officeDocument/2006/relationships/hyperlink" Target="https://smartcopying.edu.au/glossary/film/" TargetMode="External"/><Relationship Id="rId50" Type="http://schemas.openxmlformats.org/officeDocument/2006/relationships/hyperlink" Target="https://smartcopying.edu.au/glossary/musical-works/" TargetMode="External"/><Relationship Id="rId55" Type="http://schemas.openxmlformats.org/officeDocument/2006/relationships/hyperlink" Target="https://smartcopying.edu.au/glossary/choral-work/"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glossary/apra-licence/" TargetMode="External"/><Relationship Id="rId29" Type="http://schemas.openxmlformats.org/officeDocument/2006/relationships/hyperlink" Target="https://smartcopying.edu.au/glossary/licence/" TargetMode="External"/><Relationship Id="rId11" Type="http://schemas.openxmlformats.org/officeDocument/2006/relationships/hyperlink" Target="https://smartcopying.edu.au/glossary/film/" TargetMode="External"/><Relationship Id="rId24" Type="http://schemas.openxmlformats.org/officeDocument/2006/relationships/hyperlink" Target="https://smartcopying.edu.au/glossary/performance/" TargetMode="External"/><Relationship Id="rId32" Type="http://schemas.openxmlformats.org/officeDocument/2006/relationships/hyperlink" Target="https://smartcopying.edu.au/films-playing-for-non-educational-purposes/" TargetMode="External"/><Relationship Id="rId37" Type="http://schemas.openxmlformats.org/officeDocument/2006/relationships/hyperlink" Target="https://smartcopying.edu.au/glossary/apra-licence/" TargetMode="External"/><Relationship Id="rId40" Type="http://schemas.openxmlformats.org/officeDocument/2006/relationships/hyperlink" Target="https://smartcopying.edu.au/glossary/dramatic-context/" TargetMode="External"/><Relationship Id="rId45" Type="http://schemas.openxmlformats.org/officeDocument/2006/relationships/hyperlink" Target="https://smartcopying.edu.au/glossary/performance/" TargetMode="External"/><Relationship Id="rId53" Type="http://schemas.openxmlformats.org/officeDocument/2006/relationships/hyperlink" Target="https://smartcopying.edu.au/glossary/film/" TargetMode="External"/><Relationship Id="rId58" Type="http://schemas.openxmlformats.org/officeDocument/2006/relationships/hyperlink" Target="https://smartcopying.edu.au/glossary/performance/"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smartcopying.edu.au/glossary/apra-licence/" TargetMode="External"/><Relationship Id="rId14" Type="http://schemas.openxmlformats.org/officeDocument/2006/relationships/hyperlink" Target="https://smartcopying.edu.au/glossary/performance/" TargetMode="External"/><Relationship Id="rId22" Type="http://schemas.openxmlformats.org/officeDocument/2006/relationships/hyperlink" Target="http://www.apra-amcos.com.au/" TargetMode="External"/><Relationship Id="rId27" Type="http://schemas.openxmlformats.org/officeDocument/2006/relationships/hyperlink" Target="https://smartcopying.edu.au/glossary/performance/" TargetMode="External"/><Relationship Id="rId30" Type="http://schemas.openxmlformats.org/officeDocument/2006/relationships/hyperlink" Target="https://smartcopying.edu.au/glossary/licence/" TargetMode="External"/><Relationship Id="rId35" Type="http://schemas.openxmlformats.org/officeDocument/2006/relationships/hyperlink" Target="https://smartcopying.edu.au/glossary/apra-licence/" TargetMode="External"/><Relationship Id="rId43" Type="http://schemas.openxmlformats.org/officeDocument/2006/relationships/hyperlink" Target="https://smartcopying.edu.au/glossary/apra-licence/" TargetMode="External"/><Relationship Id="rId48" Type="http://schemas.openxmlformats.org/officeDocument/2006/relationships/hyperlink" Target="https://smartcopying.edu.au/glossary/licence/" TargetMode="External"/><Relationship Id="rId56" Type="http://schemas.openxmlformats.org/officeDocument/2006/relationships/hyperlink" Target="https://smartcopying.edu.au/glossary/performance/" TargetMode="External"/><Relationship Id="rId64" Type="http://schemas.openxmlformats.org/officeDocument/2006/relationships/theme" Target="theme/theme1.xml"/><Relationship Id="rId8" Type="http://schemas.openxmlformats.org/officeDocument/2006/relationships/hyperlink" Target="https://smartcopying.edu.au/glossary/performance/" TargetMode="External"/><Relationship Id="rId51" Type="http://schemas.openxmlformats.org/officeDocument/2006/relationships/hyperlink" Target="https://smartcopying.edu.au/glossary/performance/" TargetMode="External"/><Relationship Id="rId3" Type="http://schemas.openxmlformats.org/officeDocument/2006/relationships/styles" Target="styles.xml"/><Relationship Id="rId12" Type="http://schemas.openxmlformats.org/officeDocument/2006/relationships/hyperlink" Target="https://smartcopying.edu.au/glossary/film/" TargetMode="External"/><Relationship Id="rId17" Type="http://schemas.openxmlformats.org/officeDocument/2006/relationships/hyperlink" Target="https://smartcopying.edu.au/glossary/performance/" TargetMode="External"/><Relationship Id="rId25" Type="http://schemas.openxmlformats.org/officeDocument/2006/relationships/hyperlink" Target="https://smartcopying.edu.au/glossary/performance/" TargetMode="External"/><Relationship Id="rId33" Type="http://schemas.openxmlformats.org/officeDocument/2006/relationships/hyperlink" Target="https://smartcopying.edu.au/performance-and-communication-of-copyright-material-in-tafe-classes/" TargetMode="External"/><Relationship Id="rId38" Type="http://schemas.openxmlformats.org/officeDocument/2006/relationships/hyperlink" Target="https://smartcopying.edu.au/glossary/performance/" TargetMode="External"/><Relationship Id="rId46" Type="http://schemas.openxmlformats.org/officeDocument/2006/relationships/hyperlink" Target="https://smartcopying.edu.au/glossary/grand-right-works/" TargetMode="External"/><Relationship Id="rId59" Type="http://schemas.openxmlformats.org/officeDocument/2006/relationships/hyperlink" Target="https://smartcopying.edu.au/glossary/performance/" TargetMode="External"/><Relationship Id="rId20" Type="http://schemas.openxmlformats.org/officeDocument/2006/relationships/hyperlink" Target="https://smartcopying.edu.au/glossary/apra-licence/" TargetMode="External"/><Relationship Id="rId41" Type="http://schemas.openxmlformats.org/officeDocument/2006/relationships/hyperlink" Target="https://smartcopying.edu.au/glossary/performance/" TargetMode="External"/><Relationship Id="rId54" Type="http://schemas.openxmlformats.org/officeDocument/2006/relationships/hyperlink" Target="https://smartcopying.edu.au/glossary/licence/"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communicate/" TargetMode="External"/><Relationship Id="rId23" Type="http://schemas.openxmlformats.org/officeDocument/2006/relationships/hyperlink" Target="https://smartcopying.edu.au/glossary/apra-licence/" TargetMode="External"/><Relationship Id="rId28" Type="http://schemas.openxmlformats.org/officeDocument/2006/relationships/hyperlink" Target="https://smartcopying.edu.au/glossary/performance/" TargetMode="External"/><Relationship Id="rId36" Type="http://schemas.openxmlformats.org/officeDocument/2006/relationships/hyperlink" Target="https://smartcopying.edu.au/glossary/performance/" TargetMode="External"/><Relationship Id="rId49" Type="http://schemas.openxmlformats.org/officeDocument/2006/relationships/hyperlink" Target="https://smartcopying.edu.au/glossary/grand-right-works/" TargetMode="External"/><Relationship Id="rId57" Type="http://schemas.openxmlformats.org/officeDocument/2006/relationships/hyperlink" Target="https://smartcopying.edu.au/glossary/apra-licence/" TargetMode="External"/><Relationship Id="rId10" Type="http://schemas.openxmlformats.org/officeDocument/2006/relationships/hyperlink" Target="https://smartcopying.edu.au/glossary/sound-recordings/" TargetMode="External"/><Relationship Id="rId31" Type="http://schemas.openxmlformats.org/officeDocument/2006/relationships/hyperlink" Target="https://smartcopying.edu.au/playing-films-television-and-radio-in-schools/" TargetMode="External"/><Relationship Id="rId44" Type="http://schemas.openxmlformats.org/officeDocument/2006/relationships/hyperlink" Target="https://smartcopying.edu.au/glossary/apra-licence/" TargetMode="External"/><Relationship Id="rId52" Type="http://schemas.openxmlformats.org/officeDocument/2006/relationships/hyperlink" Target="https://smartcopying.edu.au/glossary/choral-work/"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artcopying.edu.au/glossary/communicat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08160-4589-4DC9-AF22-D7A9220C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2021-07-22T02:41:00Z</dcterms:created>
  <dcterms:modified xsi:type="dcterms:W3CDTF">2021-07-22T02:44:00Z</dcterms:modified>
</cp:coreProperties>
</file>