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BC1" w:rsidRDefault="004A6BC1" w:rsidP="004A6BC1">
      <w:pPr>
        <w:rPr>
          <w:b/>
          <w:color w:val="98C33C"/>
          <w:sz w:val="28"/>
          <w:szCs w:val="28"/>
        </w:rPr>
      </w:pPr>
    </w:p>
    <w:p w:rsidR="00B709EA" w:rsidRDefault="00B709EA" w:rsidP="00B709EA">
      <w:pPr>
        <w:rPr>
          <w:b/>
          <w:bCs/>
          <w:sz w:val="36"/>
          <w:szCs w:val="36"/>
          <w:lang w:val="en-AU"/>
        </w:rPr>
      </w:pPr>
      <w:r w:rsidRPr="00B709EA">
        <w:rPr>
          <w:b/>
          <w:bCs/>
          <w:sz w:val="36"/>
          <w:szCs w:val="36"/>
          <w:lang w:val="en-AU"/>
        </w:rPr>
        <w:t>International OER Guides and Toolkits</w:t>
      </w:r>
    </w:p>
    <w:p w:rsidR="00B709EA" w:rsidRPr="00B709EA" w:rsidRDefault="00B709EA" w:rsidP="00B709EA">
      <w:pPr>
        <w:rPr>
          <w:b/>
          <w:bCs/>
          <w:sz w:val="36"/>
          <w:szCs w:val="36"/>
          <w:lang w:val="en-AU"/>
        </w:rPr>
      </w:pPr>
    </w:p>
    <w:p w:rsidR="00B709EA" w:rsidRDefault="00B709EA" w:rsidP="00B709EA">
      <w:pPr>
        <w:rPr>
          <w:lang w:val="en-AU"/>
        </w:rPr>
      </w:pPr>
      <w:r w:rsidRPr="00B709EA">
        <w:rPr>
          <w:lang w:val="en-AU"/>
        </w:rPr>
        <w:t>There are a wide range of guides and toolkits available from a variety of sources to help to understand and implement Open Education policies.</w:t>
      </w:r>
    </w:p>
    <w:p w:rsidR="00B709EA" w:rsidRPr="00B709EA" w:rsidRDefault="00B709EA" w:rsidP="00B709EA">
      <w:pPr>
        <w:rPr>
          <w:lang w:val="en-AU"/>
        </w:rPr>
      </w:pPr>
    </w:p>
    <w:p w:rsidR="00B709EA" w:rsidRDefault="00B709EA" w:rsidP="00B709EA">
      <w:pPr>
        <w:rPr>
          <w:lang w:val="en-AU"/>
        </w:rPr>
      </w:pPr>
      <w:r w:rsidRPr="00B709EA">
        <w:rPr>
          <w:lang w:val="en-AU"/>
        </w:rPr>
        <w:t>They provide a good explanation of </w:t>
      </w:r>
      <w:hyperlink r:id="rId8" w:history="1">
        <w:r w:rsidRPr="00B709EA">
          <w:rPr>
            <w:rStyle w:val="Hyperlink"/>
            <w:lang w:val="en-AU"/>
          </w:rPr>
          <w:t>OER</w:t>
        </w:r>
      </w:hyperlink>
      <w:r w:rsidRPr="00B709EA">
        <w:rPr>
          <w:lang w:val="en-AU"/>
        </w:rPr>
        <w:t> and how to licence under </w:t>
      </w:r>
      <w:hyperlink r:id="rId9" w:history="1">
        <w:r w:rsidRPr="00B709EA">
          <w:rPr>
            <w:rStyle w:val="Hyperlink"/>
            <w:lang w:val="en-AU"/>
          </w:rPr>
          <w:t>CC licences</w:t>
        </w:r>
      </w:hyperlink>
      <w:r w:rsidRPr="00B709EA">
        <w:rPr>
          <w:lang w:val="en-AU"/>
        </w:rPr>
        <w:t> but please note that there are differences in law and administration of the education sector in different countries to the extent that in some jurisdictions individual schools are able to decide whether to licence education resources they create under a CC licence. Therefore if you need advice about licensing education resources under CC licences in Australia further information should be sought from the NCU.</w:t>
      </w:r>
    </w:p>
    <w:p w:rsidR="00B709EA" w:rsidRPr="00B709EA" w:rsidRDefault="00B709EA" w:rsidP="00B709EA">
      <w:pPr>
        <w:rPr>
          <w:lang w:val="en-AU"/>
        </w:rPr>
      </w:pPr>
    </w:p>
    <w:p w:rsidR="00B709EA" w:rsidRDefault="00B709EA" w:rsidP="00B709EA">
      <w:r w:rsidRPr="00B709EA">
        <w:rPr>
          <w:lang w:val="en-AU"/>
        </w:rPr>
        <w:t>In the UK, a toolkit has been prepared to assist schools in Leicester City and provides a useful guide to Open Education. It is available </w:t>
      </w:r>
      <w:hyperlink r:id="rId10" w:history="1">
        <w:r w:rsidRPr="00B709EA">
          <w:rPr>
            <w:rStyle w:val="Hyperlink"/>
            <w:lang w:val="en-AU"/>
          </w:rPr>
          <w:t>here.</w:t>
        </w:r>
      </w:hyperlink>
    </w:p>
    <w:p w:rsidR="00B709EA" w:rsidRPr="00B709EA" w:rsidRDefault="00B709EA" w:rsidP="00B709EA">
      <w:pPr>
        <w:rPr>
          <w:lang w:val="en-AU"/>
        </w:rPr>
      </w:pPr>
    </w:p>
    <w:p w:rsidR="00B709EA" w:rsidRPr="00B709EA" w:rsidRDefault="00B709EA" w:rsidP="00B709EA">
      <w:pPr>
        <w:rPr>
          <w:lang w:val="en-AU"/>
        </w:rPr>
      </w:pPr>
      <w:r w:rsidRPr="00B709EA">
        <w:rPr>
          <w:lang w:val="en-AU"/>
        </w:rPr>
        <w:t>In South Africa, OER Africa has also developed a toolkit on OER available </w:t>
      </w:r>
      <w:hyperlink r:id="rId11" w:history="1">
        <w:r w:rsidRPr="00B709EA">
          <w:rPr>
            <w:rStyle w:val="Hyperlink"/>
            <w:lang w:val="en-AU"/>
          </w:rPr>
          <w:t>here.</w:t>
        </w:r>
      </w:hyperlink>
    </w:p>
    <w:p w:rsidR="00B709EA" w:rsidRDefault="00B709EA" w:rsidP="00B709EA">
      <w:pPr>
        <w:rPr>
          <w:lang w:val="en-AU"/>
        </w:rPr>
      </w:pPr>
    </w:p>
    <w:p w:rsidR="00B709EA" w:rsidRDefault="00B709EA" w:rsidP="00B709EA">
      <w:r w:rsidRPr="00B709EA">
        <w:rPr>
          <w:lang w:val="en-AU"/>
        </w:rPr>
        <w:t>In New Zealand, OER has been adopted by many schools and their policies have been shared online. An example is available </w:t>
      </w:r>
      <w:hyperlink r:id="rId12" w:anchor="Policy" w:history="1">
        <w:r w:rsidRPr="00B709EA">
          <w:rPr>
            <w:rStyle w:val="Hyperlink"/>
            <w:lang w:val="en-AU"/>
          </w:rPr>
          <w:t>here.</w:t>
        </w:r>
      </w:hyperlink>
    </w:p>
    <w:p w:rsidR="00B709EA" w:rsidRPr="00B709EA" w:rsidRDefault="00B709EA" w:rsidP="00B709EA">
      <w:pPr>
        <w:rPr>
          <w:lang w:val="en-AU"/>
        </w:rPr>
      </w:pPr>
    </w:p>
    <w:p w:rsidR="00B709EA" w:rsidRDefault="00B709EA" w:rsidP="00B709EA">
      <w:r w:rsidRPr="00B709EA">
        <w:rPr>
          <w:lang w:val="en-AU"/>
        </w:rPr>
        <w:t>Another good guide is the handbook prepared by the UK based organisation Open Knowledge. This handbook has been written to provide a useful point of reference for readers with a range of different roles and interests who are interested in learning more about the concept of Open Education and to help them deal with a variety of practical situations. The Open Education Handbook can be found </w:t>
      </w:r>
      <w:hyperlink r:id="rId13" w:history="1">
        <w:r w:rsidRPr="00B709EA">
          <w:rPr>
            <w:rStyle w:val="Hyperlink"/>
            <w:lang w:val="en-AU"/>
          </w:rPr>
          <w:t>here.</w:t>
        </w:r>
      </w:hyperlink>
    </w:p>
    <w:p w:rsidR="00B709EA" w:rsidRPr="00B709EA" w:rsidRDefault="00B709EA" w:rsidP="00B709EA">
      <w:pPr>
        <w:rPr>
          <w:lang w:val="en-AU"/>
        </w:rPr>
      </w:pPr>
    </w:p>
    <w:p w:rsidR="00B709EA" w:rsidRDefault="00B709EA" w:rsidP="00B709EA">
      <w:r w:rsidRPr="00B709EA">
        <w:rPr>
          <w:lang w:val="en-AU"/>
        </w:rPr>
        <w:t>The Scholarly Publishing and Academic Resources Coalition (SPARC), an American based international alliance of academic and research libraries has an information sheet on Open Education which can be found </w:t>
      </w:r>
      <w:hyperlink r:id="rId14" w:history="1">
        <w:r w:rsidRPr="00B709EA">
          <w:rPr>
            <w:rStyle w:val="Hyperlink"/>
            <w:lang w:val="en-AU"/>
          </w:rPr>
          <w:t>here (pdf).</w:t>
        </w:r>
      </w:hyperlink>
    </w:p>
    <w:p w:rsidR="00B709EA" w:rsidRPr="00B709EA" w:rsidRDefault="00B709EA" w:rsidP="00B709EA">
      <w:pPr>
        <w:rPr>
          <w:lang w:val="en-AU"/>
        </w:rPr>
      </w:pPr>
    </w:p>
    <w:p w:rsidR="00B709EA" w:rsidRDefault="00B709EA" w:rsidP="00B709EA">
      <w:pPr>
        <w:rPr>
          <w:lang w:val="en-AU"/>
        </w:rPr>
      </w:pPr>
      <w:r w:rsidRPr="00B709EA">
        <w:rPr>
          <w:lang w:val="en-AU"/>
        </w:rPr>
        <w:t>Creative Commons has a website devoted to Open Education with useful resources which can be found </w:t>
      </w:r>
      <w:hyperlink r:id="rId15" w:history="1">
        <w:r w:rsidRPr="00B709EA">
          <w:rPr>
            <w:rStyle w:val="Hyperlink"/>
            <w:lang w:val="en-AU"/>
          </w:rPr>
          <w:t>here</w:t>
        </w:r>
      </w:hyperlink>
      <w:r w:rsidRPr="00B709EA">
        <w:rPr>
          <w:lang w:val="en-AU"/>
        </w:rPr>
        <w:t>.</w:t>
      </w:r>
    </w:p>
    <w:p w:rsidR="00B709EA" w:rsidRPr="00B709EA" w:rsidRDefault="00B709EA" w:rsidP="00B709EA">
      <w:pPr>
        <w:rPr>
          <w:lang w:val="en-AU"/>
        </w:rPr>
      </w:pPr>
    </w:p>
    <w:p w:rsidR="00B709EA" w:rsidRDefault="00B709EA" w:rsidP="00B709EA">
      <w:r w:rsidRPr="00B709EA">
        <w:rPr>
          <w:lang w:val="en-AU"/>
        </w:rPr>
        <w:t>UNESCO has produced guidelines for OER as part of its work to promote Open Education and which can be found </w:t>
      </w:r>
      <w:hyperlink r:id="rId16" w:history="1">
        <w:r w:rsidRPr="00B709EA">
          <w:rPr>
            <w:rStyle w:val="Hyperlink"/>
            <w:lang w:val="en-AU"/>
          </w:rPr>
          <w:t>here.</w:t>
        </w:r>
      </w:hyperlink>
    </w:p>
    <w:p w:rsidR="00B709EA" w:rsidRPr="00B709EA" w:rsidRDefault="00B709EA" w:rsidP="00B709EA">
      <w:pPr>
        <w:rPr>
          <w:lang w:val="en-AU"/>
        </w:rPr>
      </w:pPr>
    </w:p>
    <w:p w:rsidR="00B709EA" w:rsidRDefault="00B709EA" w:rsidP="00B709EA">
      <w:r w:rsidRPr="00B709EA">
        <w:rPr>
          <w:lang w:val="en-AU"/>
        </w:rPr>
        <w:t>The global Open Education Movement organisation raises awareness of Open Education during its annual Open Education Week. More information can be found </w:t>
      </w:r>
      <w:hyperlink r:id="rId17" w:history="1">
        <w:r w:rsidRPr="00B709EA">
          <w:rPr>
            <w:rStyle w:val="Hyperlink"/>
            <w:lang w:val="en-AU"/>
          </w:rPr>
          <w:t>here.</w:t>
        </w:r>
      </w:hyperlink>
    </w:p>
    <w:p w:rsidR="00B709EA" w:rsidRPr="00B709EA" w:rsidRDefault="00B709EA" w:rsidP="00B709EA">
      <w:pPr>
        <w:rPr>
          <w:lang w:val="en-AU"/>
        </w:rPr>
      </w:pPr>
    </w:p>
    <w:p w:rsidR="00B709EA" w:rsidRDefault="00B709EA" w:rsidP="00B709EA">
      <w:r w:rsidRPr="00B709EA">
        <w:rPr>
          <w:lang w:val="en-AU"/>
        </w:rPr>
        <w:t>The Learning Portal College Libraries in Ontario has an OER Toolkit </w:t>
      </w:r>
      <w:hyperlink r:id="rId18" w:history="1">
        <w:r w:rsidRPr="00B709EA">
          <w:rPr>
            <w:rStyle w:val="Hyperlink"/>
            <w:lang w:val="en-AU"/>
          </w:rPr>
          <w:t>here.</w:t>
        </w:r>
      </w:hyperlink>
    </w:p>
    <w:p w:rsidR="00B709EA" w:rsidRPr="00B709EA" w:rsidRDefault="00B709EA" w:rsidP="00B709EA">
      <w:pPr>
        <w:rPr>
          <w:lang w:val="en-AU"/>
        </w:rPr>
      </w:pPr>
    </w:p>
    <w:p w:rsidR="00B709EA" w:rsidRPr="00B709EA" w:rsidRDefault="00B709EA" w:rsidP="00B709EA">
      <w:r w:rsidRPr="00B709EA">
        <w:rPr>
          <w:lang w:val="en-AU"/>
        </w:rPr>
        <w:lastRenderedPageBreak/>
        <w:t>The Commonwealth Health and Education Unit (part of the Commonwealth Education Hub) lists OER toolkits from various organisations </w:t>
      </w:r>
      <w:hyperlink r:id="rId19" w:history="1">
        <w:r w:rsidRPr="00B709EA">
          <w:rPr>
            <w:rStyle w:val="Hyperlink"/>
            <w:lang w:val="en-AU"/>
          </w:rPr>
          <w:t>here.</w:t>
        </w:r>
      </w:hyperlink>
    </w:p>
    <w:sectPr w:rsidR="00B709EA" w:rsidRPr="00B709EA" w:rsidSect="00F4711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4B7" w:rsidRDefault="004114B7" w:rsidP="004A6BC1">
      <w:pPr>
        <w:spacing w:line="240" w:lineRule="auto"/>
      </w:pPr>
      <w:r>
        <w:separator/>
      </w:r>
    </w:p>
  </w:endnote>
  <w:endnote w:type="continuationSeparator" w:id="0">
    <w:p w:rsidR="004114B7" w:rsidRDefault="004114B7"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15" w:rsidRDefault="00D55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E4F" w:rsidRDefault="00FE2E4F" w:rsidP="00E01BB6">
    <w:pPr>
      <w:pStyle w:val="Footer"/>
      <w:jc w:val="center"/>
    </w:pPr>
    <w:bookmarkStart w:id="0" w:name="_GoBack"/>
    <w:bookmarkEnd w:id="0"/>
    <w:r>
      <w:rPr>
        <w:noProof/>
      </w:rPr>
      <mc:AlternateContent>
        <mc:Choice Requires="wps">
          <w:drawing>
            <wp:anchor distT="45720" distB="45720" distL="114300" distR="114300" simplePos="0" relativeHeight="251662336" behindDoc="0" locked="0" layoutInCell="1" allowOverlap="1">
              <wp:simplePos x="0" y="0"/>
              <wp:positionH relativeFrom="column">
                <wp:posOffset>-834390</wp:posOffset>
              </wp:positionH>
              <wp:positionV relativeFrom="paragraph">
                <wp:posOffset>-2540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rsidR="00FE2E4F" w:rsidRPr="00FD7350" w:rsidRDefault="00FE2E4F"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7pt;margin-top:-.2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jNJAIAACcEAAAOAAAAZHJzL2Uyb0RvYy54bWysU9uO2yAQfa/Uf0C8N3asZJO14qy22aat&#10;tL1Iu/0AjHGMCgwFEjv9+h1wmkTbt6p+QOAZzpw5c1jdDVqRg3BegqnodJJTIgyHRppdRX88b98t&#10;KfGBmYYpMKKiR+Hp3frtm1VvS1FAB6oRjiCI8WVvK9qFYMss87wTmvkJWGEw2ILTLODR7bLGsR7R&#10;tcqKPL/JenCNdcCF9/j3YQzSdcJvW8HDt7b1IhBVUeQW0urSWsc1W69YuXPMdpKfaLB/YKGZNFj0&#10;DPXAAiN7J/+C0pI78NCGCQedQdtKLlIP2M00f9XNU8esSL2gON6eZfL/D5Z/PXx3RDYVLaYLSgzT&#10;OKRnMQTyHgZSRH1660tMe7KYGAb8jXNOvXr7CPynJwY2HTM7ce8c9J1gDfKbxpvZ1dURx0eQuv8C&#10;DZZh+wAJaGidJq2S9tMfaBSGYB2c2PE8pUiKx+Kz2WKZY4hjbL68WczSGDNWRpw4BOt8+ChAk7ip&#10;qEMXpDrs8OhD5HVJiekelGy2Uql0cLt6oxw5MHTMNn2plVdpypC+orfzYp6QDcT7yUxaBnS0krqi&#10;yBK/0WNRlw+mSSmBSTXukYkyJ6GiNqNKYagHTIzq1dAcUTIHo3PxpeGmA/ebkh5dW1H/a8+coER9&#10;Nij7LYoTbZ4Os/miwIO7jtTXEWY4QlU0UDJuNyE9jaiDgXscTyuTXhcmJ67oxiTj6eVEu1+fU9bl&#10;fa9fAAAA//8DAFBLAwQUAAYACAAAACEA7rbr1d8AAAAIAQAADwAAAGRycy9kb3ducmV2LnhtbEyP&#10;zU7DMBCE70i8g7VIXFDrJNCIpnEqhCj3BsTPzY23SUS8DrGbhj49y4meZlczmv02X0+2EyMOvnWk&#10;IJ5HIJAqZ1qqFby+bGb3IHzQZHTnCBX8oId1cXmR68y4I21xLEMtuIR8phU0IfSZlL5q0Go/dz0S&#10;e3s3WB14HWppBn3kctvJJIpSaXVLfKHRPT42WH2VB6vg9D6W3x+f2+TtZrMM08I9p6cnq9T11fSw&#10;AhFwCv9h+MNndCiYaecOZLzoFMzi2/iOszyxcGCZpiB2rEkEssjl+QPFLwAAAP//AwBQSwECLQAU&#10;AAYACAAAACEAtoM4kv4AAADhAQAAEwAAAAAAAAAAAAAAAAAAAAAAW0NvbnRlbnRfVHlwZXNdLnht&#10;bFBLAQItABQABgAIAAAAIQA4/SH/1gAAAJQBAAALAAAAAAAAAAAAAAAAAC8BAABfcmVscy8ucmVs&#10;c1BLAQItABQABgAIAAAAIQCIVOjNJAIAACcEAAAOAAAAAAAAAAAAAAAAAC4CAABkcnMvZTJvRG9j&#10;LnhtbFBLAQItABQABgAIAAAAIQDutuvV3wAAAAgBAAAPAAAAAAAAAAAAAAAAAH4EAABkcnMvZG93&#10;bnJldi54bWxQSwUGAAAAAAQABADzAAAAigUAAAAA&#10;" stroked="f">
              <v:textbox>
                <w:txbxContent>
                  <w:p w:rsidR="00FE2E4F" w:rsidRPr="00FD7350" w:rsidRDefault="00FE2E4F"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v:textbox>
              <w10:wrap type="square"/>
            </v:shape>
          </w:pict>
        </mc:Fallback>
      </mc:AlternateContent>
    </w:r>
    <w:r>
      <w:rPr>
        <w:rFonts w:ascii="Calibri" w:eastAsia="Calibri" w:hAnsi="Calibri" w:cs="Calibri"/>
        <w:noProof/>
        <w:sz w:val="16"/>
        <w:szCs w:val="16"/>
      </w:rPr>
      <w:drawing>
        <wp:anchor distT="0" distB="0" distL="114300" distR="114300" simplePos="0" relativeHeight="251661312" behindDoc="0" locked="0" layoutInCell="1" allowOverlap="1">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FE2E4F" w:rsidRDefault="00FE2E4F" w:rsidP="00471F71">
    <w:pPr>
      <w:tabs>
        <w:tab w:val="left" w:pos="7728"/>
      </w:tabs>
      <w:spacing w:line="240" w:lineRule="auto"/>
      <w:rPr>
        <w:rFonts w:ascii="Calibri" w:eastAsia="Calibri" w:hAnsi="Calibri" w:cs="Calibri"/>
        <w:sz w:val="16"/>
        <w:szCs w:val="16"/>
      </w:rPr>
    </w:pPr>
  </w:p>
  <w:p w:rsidR="00901DE9" w:rsidRDefault="004114B7" w:rsidP="00471F71">
    <w:pPr>
      <w:tabs>
        <w:tab w:val="left" w:pos="7728"/>
      </w:tabs>
      <w:spacing w:line="240" w:lineRule="auto"/>
      <w:rPr>
        <w:rFonts w:ascii="Calibri" w:eastAsia="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E9" w:rsidRPr="00B00B93" w:rsidRDefault="00602CEB">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rPr>
      <w:drawing>
        <wp:inline distT="0" distB="0" distL="0" distR="0" wp14:anchorId="16057982" wp14:editId="6B131CF5">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4B7" w:rsidRDefault="004114B7" w:rsidP="004A6BC1">
      <w:pPr>
        <w:spacing w:line="240" w:lineRule="auto"/>
      </w:pPr>
      <w:r>
        <w:separator/>
      </w:r>
    </w:p>
  </w:footnote>
  <w:footnote w:type="continuationSeparator" w:id="0">
    <w:p w:rsidR="004114B7" w:rsidRDefault="004114B7"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15" w:rsidRDefault="00D55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E9" w:rsidRDefault="00BA7D6D" w:rsidP="00AC7609">
    <w:pPr>
      <w:jc w:val="center"/>
    </w:pPr>
    <w:r>
      <w:rPr>
        <w:noProof/>
      </w:rPr>
      <w:drawing>
        <wp:inline distT="0" distB="0" distL="0" distR="0">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sidR="00602CEB">
      <w:rPr>
        <w:noProof/>
      </w:rPr>
      <w:drawing>
        <wp:anchor distT="0" distB="0" distL="0" distR="0" simplePos="0" relativeHeight="251659264" behindDoc="0" locked="0" layoutInCell="1" hidden="0" allowOverlap="1" wp14:anchorId="0F2AEF89" wp14:editId="7D3413B6">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15" w:rsidRDefault="00D55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BEA"/>
    <w:multiLevelType w:val="multilevel"/>
    <w:tmpl w:val="3282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66FDF"/>
    <w:multiLevelType w:val="multilevel"/>
    <w:tmpl w:val="0F96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A6A1C"/>
    <w:multiLevelType w:val="multilevel"/>
    <w:tmpl w:val="F06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537AF"/>
    <w:multiLevelType w:val="multilevel"/>
    <w:tmpl w:val="CBF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1722C"/>
    <w:multiLevelType w:val="multilevel"/>
    <w:tmpl w:val="9AB8F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C0F3EE5"/>
    <w:multiLevelType w:val="multilevel"/>
    <w:tmpl w:val="4AF0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4"/>
    <w:lvlOverride w:ilvl="0">
      <w:lvl w:ilvl="0">
        <w:numFmt w:val="decimal"/>
        <w:lvlText w:val="%1."/>
        <w:lvlJc w:val="left"/>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1"/>
    <w:rsid w:val="004114B7"/>
    <w:rsid w:val="00426FA0"/>
    <w:rsid w:val="00471F71"/>
    <w:rsid w:val="004A6BC1"/>
    <w:rsid w:val="005E7185"/>
    <w:rsid w:val="00602CEB"/>
    <w:rsid w:val="00714101"/>
    <w:rsid w:val="0071433F"/>
    <w:rsid w:val="008F1FC9"/>
    <w:rsid w:val="00A215E7"/>
    <w:rsid w:val="00AC7609"/>
    <w:rsid w:val="00B709EA"/>
    <w:rsid w:val="00BA7D6D"/>
    <w:rsid w:val="00C50477"/>
    <w:rsid w:val="00D54827"/>
    <w:rsid w:val="00D55D15"/>
    <w:rsid w:val="00DB5C76"/>
    <w:rsid w:val="00F16283"/>
    <w:rsid w:val="00F4711C"/>
    <w:rsid w:val="00FE2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styleId="UnresolvedMention">
    <w:name w:val="Unresolved Mention"/>
    <w:basedOn w:val="DefaultParagraphFont"/>
    <w:uiPriority w:val="99"/>
    <w:semiHidden/>
    <w:unhideWhenUsed/>
    <w:rsid w:val="00D5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04874">
      <w:bodyDiv w:val="1"/>
      <w:marLeft w:val="0"/>
      <w:marRight w:val="0"/>
      <w:marTop w:val="0"/>
      <w:marBottom w:val="0"/>
      <w:divBdr>
        <w:top w:val="none" w:sz="0" w:space="0" w:color="auto"/>
        <w:left w:val="none" w:sz="0" w:space="0" w:color="auto"/>
        <w:bottom w:val="none" w:sz="0" w:space="0" w:color="auto"/>
        <w:right w:val="none" w:sz="0" w:space="0" w:color="auto"/>
      </w:divBdr>
      <w:divsChild>
        <w:div w:id="67044289">
          <w:marLeft w:val="0"/>
          <w:marRight w:val="0"/>
          <w:marTop w:val="0"/>
          <w:marBottom w:val="0"/>
          <w:divBdr>
            <w:top w:val="single" w:sz="2" w:space="0" w:color="auto"/>
            <w:left w:val="single" w:sz="2" w:space="0" w:color="auto"/>
            <w:bottom w:val="single" w:sz="2" w:space="0" w:color="auto"/>
            <w:right w:val="single" w:sz="2" w:space="0" w:color="auto"/>
          </w:divBdr>
        </w:div>
      </w:divsChild>
    </w:div>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1538396945">
      <w:bodyDiv w:val="1"/>
      <w:marLeft w:val="0"/>
      <w:marRight w:val="0"/>
      <w:marTop w:val="0"/>
      <w:marBottom w:val="0"/>
      <w:divBdr>
        <w:top w:val="none" w:sz="0" w:space="0" w:color="auto"/>
        <w:left w:val="none" w:sz="0" w:space="0" w:color="auto"/>
        <w:bottom w:val="none" w:sz="0" w:space="0" w:color="auto"/>
        <w:right w:val="none" w:sz="0" w:space="0" w:color="auto"/>
      </w:divBdr>
      <w:divsChild>
        <w:div w:id="118026920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opying.edu.au/glossary/open-education-resources-oer/" TargetMode="External"/><Relationship Id="rId13" Type="http://schemas.openxmlformats.org/officeDocument/2006/relationships/hyperlink" Target="https://education.okfn.org/handbooks/handbook/" TargetMode="External"/><Relationship Id="rId18" Type="http://schemas.openxmlformats.org/officeDocument/2006/relationships/hyperlink" Target="https://tlp-lpa.ca/oer-toolk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ikieducator.org/Albany_Senior_High_School/Intellectual_property_policy" TargetMode="External"/><Relationship Id="rId17" Type="http://schemas.openxmlformats.org/officeDocument/2006/relationships/hyperlink" Target="http://www.openeducationweek.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nesco.org/new/en/communication-and-information/resources/publications-and-communication-materials/publications/full-list/guidelines-for-open-educational-resources-oer-in-higher-edu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africa.org/copyright-and-licensing-toolk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reativecommons.org/education" TargetMode="External"/><Relationship Id="rId23" Type="http://schemas.openxmlformats.org/officeDocument/2006/relationships/footer" Target="footer2.xml"/><Relationship Id="rId10" Type="http://schemas.openxmlformats.org/officeDocument/2006/relationships/hyperlink" Target="https://schools.leicester.gov.uk/services/planning-and-property/building-schools-for-the-future-bsf/open-education-for-schools/" TargetMode="External"/><Relationship Id="rId19" Type="http://schemas.openxmlformats.org/officeDocument/2006/relationships/hyperlink" Target="https://www.thecommonwealth-educationhub.net/find-policy-toolkits/" TargetMode="External"/><Relationship Id="rId4" Type="http://schemas.openxmlformats.org/officeDocument/2006/relationships/settings" Target="settings.xml"/><Relationship Id="rId9" Type="http://schemas.openxmlformats.org/officeDocument/2006/relationships/hyperlink" Target="https://smartcopying.edu.au/glossary/creative-commons-cc/" TargetMode="External"/><Relationship Id="rId14" Type="http://schemas.openxmlformats.org/officeDocument/2006/relationships/hyperlink" Target="http://sparc.arl.org/sites/default/files/Open%20Education%20Fact%20Sheet.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796D-DD43-4A51-A776-222373D9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3</cp:revision>
  <dcterms:created xsi:type="dcterms:W3CDTF">2021-02-16T05:14:00Z</dcterms:created>
  <dcterms:modified xsi:type="dcterms:W3CDTF">2021-03-01T04:19:00Z</dcterms:modified>
</cp:coreProperties>
</file>