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BC1" w:rsidRPr="004E5E83" w:rsidRDefault="004A6BC1" w:rsidP="004A6BC1">
      <w:pPr>
        <w:rPr>
          <w:b/>
          <w:color w:val="98C33C"/>
          <w:sz w:val="28"/>
          <w:szCs w:val="28"/>
          <w:u w:val="single"/>
        </w:rPr>
      </w:pPr>
    </w:p>
    <w:p w:rsidR="00DB5C76" w:rsidRDefault="00DB5C76"/>
    <w:p w:rsidR="004E5E83" w:rsidRPr="004E5E83" w:rsidRDefault="004E5E83" w:rsidP="004E5E83">
      <w:pPr>
        <w:rPr>
          <w:b/>
          <w:bCs/>
          <w:sz w:val="40"/>
          <w:szCs w:val="40"/>
          <w:lang w:val="en-AU"/>
        </w:rPr>
      </w:pPr>
      <w:r w:rsidRPr="004E5E83">
        <w:rPr>
          <w:b/>
          <w:bCs/>
          <w:sz w:val="40"/>
          <w:szCs w:val="40"/>
          <w:lang w:val="en-AU"/>
        </w:rPr>
        <w:t>Circumventing Technology Protection Measures</w:t>
      </w:r>
    </w:p>
    <w:p w:rsidR="004E5E83" w:rsidRPr="004E5E83" w:rsidRDefault="004E5E83" w:rsidP="004E5E83">
      <w:pPr>
        <w:rPr>
          <w:b/>
          <w:bCs/>
          <w:sz w:val="32"/>
          <w:szCs w:val="32"/>
          <w:lang w:val="en-AU"/>
        </w:rPr>
      </w:pPr>
    </w:p>
    <w:p w:rsidR="004E5E83" w:rsidRPr="004E5E83" w:rsidRDefault="004E5E83" w:rsidP="004E5E83">
      <w:pPr>
        <w:rPr>
          <w:b/>
          <w:bCs/>
          <w:sz w:val="32"/>
          <w:szCs w:val="32"/>
          <w:lang w:val="en-AU"/>
        </w:rPr>
      </w:pPr>
      <w:r w:rsidRPr="004E5E83">
        <w:rPr>
          <w:b/>
          <w:bCs/>
          <w:sz w:val="32"/>
          <w:szCs w:val="32"/>
          <w:lang w:val="en-AU"/>
        </w:rPr>
        <w:t>Circumvention: What am I allowed to do?</w:t>
      </w:r>
    </w:p>
    <w:p w:rsidR="004E5E83" w:rsidRPr="004E5E83" w:rsidRDefault="004E5E83" w:rsidP="004E5E83">
      <w:pPr>
        <w:rPr>
          <w:b/>
          <w:bCs/>
          <w:sz w:val="32"/>
          <w:szCs w:val="32"/>
          <w:lang w:val="en-AU"/>
        </w:rPr>
      </w:pPr>
    </w:p>
    <w:p w:rsidR="004E5E83" w:rsidRDefault="004E5E83" w:rsidP="004E5E83">
      <w:pPr>
        <w:rPr>
          <w:b/>
          <w:bCs/>
          <w:sz w:val="32"/>
          <w:szCs w:val="32"/>
          <w:lang w:val="en-AU"/>
        </w:rPr>
      </w:pPr>
      <w:r w:rsidRPr="004E5E83">
        <w:rPr>
          <w:b/>
          <w:bCs/>
          <w:sz w:val="32"/>
          <w:szCs w:val="32"/>
          <w:lang w:val="en-AU"/>
        </w:rPr>
        <w:t>What are Technological Protection Measures?</w:t>
      </w:r>
    </w:p>
    <w:p w:rsidR="004E5E83" w:rsidRPr="004E5E83" w:rsidRDefault="004E5E83" w:rsidP="004E5E83">
      <w:pPr>
        <w:rPr>
          <w:b/>
          <w:bCs/>
          <w:sz w:val="32"/>
          <w:szCs w:val="32"/>
          <w:lang w:val="en-AU"/>
        </w:rPr>
      </w:pPr>
    </w:p>
    <w:p w:rsidR="004E5E83" w:rsidRDefault="004E5E83" w:rsidP="004E5E83">
      <w:pPr>
        <w:rPr>
          <w:lang w:val="en-AU"/>
        </w:rPr>
      </w:pPr>
      <w:r w:rsidRPr="004E5E83">
        <w:rPr>
          <w:lang w:val="en-AU"/>
        </w:rPr>
        <w:t>There are two types of Technological Protection Measures (</w:t>
      </w:r>
      <w:r w:rsidRPr="004E5E83">
        <w:rPr>
          <w:b/>
          <w:bCs/>
          <w:i/>
          <w:iCs/>
          <w:lang w:val="en-AU"/>
        </w:rPr>
        <w:t>TPMs</w:t>
      </w:r>
      <w:r w:rsidRPr="004E5E83">
        <w:rPr>
          <w:lang w:val="en-AU"/>
        </w:rPr>
        <w:t>):</w:t>
      </w:r>
    </w:p>
    <w:p w:rsidR="004E5E83" w:rsidRPr="004E5E83" w:rsidRDefault="004E5E83" w:rsidP="004E5E83">
      <w:pPr>
        <w:rPr>
          <w:lang w:val="en-AU"/>
        </w:rPr>
      </w:pPr>
    </w:p>
    <w:p w:rsidR="004E5E83" w:rsidRPr="004E5E83" w:rsidRDefault="004E5E83" w:rsidP="004E5E83">
      <w:pPr>
        <w:numPr>
          <w:ilvl w:val="0"/>
          <w:numId w:val="1"/>
        </w:numPr>
        <w:rPr>
          <w:lang w:val="en-AU"/>
        </w:rPr>
      </w:pPr>
      <w:r w:rsidRPr="004E5E83">
        <w:rPr>
          <w:b/>
          <w:bCs/>
          <w:i/>
          <w:iCs/>
          <w:lang w:val="en-AU"/>
        </w:rPr>
        <w:t>Access Control TPMs </w:t>
      </w:r>
      <w:r w:rsidRPr="004E5E83">
        <w:rPr>
          <w:lang w:val="en-AU"/>
        </w:rPr>
        <w:t>– these are used to control access to copyright content. Some examples include:</w:t>
      </w:r>
    </w:p>
    <w:p w:rsidR="004E5E83" w:rsidRPr="004E5E83" w:rsidRDefault="004E5E83" w:rsidP="004E5E83">
      <w:pPr>
        <w:ind w:left="360"/>
        <w:rPr>
          <w:lang w:val="en-AU"/>
        </w:rPr>
      </w:pPr>
    </w:p>
    <w:p w:rsidR="004E5E83" w:rsidRPr="004E5E83" w:rsidRDefault="004E5E83" w:rsidP="004E5E83">
      <w:pPr>
        <w:numPr>
          <w:ilvl w:val="1"/>
          <w:numId w:val="3"/>
        </w:numPr>
        <w:rPr>
          <w:lang w:val="en-AU"/>
        </w:rPr>
      </w:pPr>
      <w:r w:rsidRPr="004E5E83">
        <w:rPr>
          <w:lang w:val="en-AU"/>
        </w:rPr>
        <w:t>password control systems (</w:t>
      </w:r>
      <w:proofErr w:type="spellStart"/>
      <w:r w:rsidRPr="004E5E83">
        <w:rPr>
          <w:lang w:val="en-AU"/>
        </w:rPr>
        <w:t>eg</w:t>
      </w:r>
      <w:proofErr w:type="spellEnd"/>
      <w:r w:rsidRPr="004E5E83">
        <w:rPr>
          <w:lang w:val="en-AU"/>
        </w:rPr>
        <w:t xml:space="preserve"> a ‘members only’ password which limits access to special content on a website to authorised members)</w:t>
      </w:r>
    </w:p>
    <w:p w:rsidR="004E5E83" w:rsidRPr="004E5E83" w:rsidRDefault="004E5E83" w:rsidP="004E5E83">
      <w:pPr>
        <w:numPr>
          <w:ilvl w:val="1"/>
          <w:numId w:val="3"/>
        </w:numPr>
        <w:rPr>
          <w:lang w:val="en-AU"/>
        </w:rPr>
      </w:pPr>
      <w:r w:rsidRPr="004E5E83">
        <w:rPr>
          <w:lang w:val="en-AU"/>
        </w:rPr>
        <w:t>payment systems (</w:t>
      </w:r>
      <w:proofErr w:type="spellStart"/>
      <w:r w:rsidRPr="004E5E83">
        <w:rPr>
          <w:lang w:val="en-AU"/>
        </w:rPr>
        <w:t>eg</w:t>
      </w:r>
      <w:proofErr w:type="spellEnd"/>
      <w:r w:rsidRPr="004E5E83">
        <w:rPr>
          <w:lang w:val="en-AU"/>
        </w:rPr>
        <w:t xml:space="preserve"> where you have to pay a fee to access certain content on a website such as Choice website where certain content is restricted to people who paid for access to them)</w:t>
      </w:r>
    </w:p>
    <w:p w:rsidR="004E5E83" w:rsidRDefault="004E5E83" w:rsidP="004E5E83">
      <w:pPr>
        <w:numPr>
          <w:ilvl w:val="1"/>
          <w:numId w:val="3"/>
        </w:numPr>
        <w:rPr>
          <w:lang w:val="en-AU"/>
        </w:rPr>
      </w:pPr>
      <w:r w:rsidRPr="004E5E83">
        <w:rPr>
          <w:lang w:val="en-AU"/>
        </w:rPr>
        <w:t>time access controls (</w:t>
      </w:r>
      <w:proofErr w:type="spellStart"/>
      <w:r w:rsidRPr="004E5E83">
        <w:rPr>
          <w:lang w:val="en-AU"/>
        </w:rPr>
        <w:t>eg</w:t>
      </w:r>
      <w:proofErr w:type="spellEnd"/>
      <w:r w:rsidRPr="004E5E83">
        <w:rPr>
          <w:lang w:val="en-AU"/>
        </w:rPr>
        <w:t xml:space="preserve"> a technology that manages how long you can access copyright content such as some movie download sites which allow you to ‘rent’ and watch a movie for a period of time (</w:t>
      </w:r>
      <w:proofErr w:type="spellStart"/>
      <w:r w:rsidRPr="004E5E83">
        <w:rPr>
          <w:lang w:val="en-AU"/>
        </w:rPr>
        <w:t>eg</w:t>
      </w:r>
      <w:proofErr w:type="spellEnd"/>
      <w:r w:rsidRPr="004E5E83">
        <w:rPr>
          <w:lang w:val="en-AU"/>
        </w:rPr>
        <w:t xml:space="preserve"> 24 hours).</w:t>
      </w:r>
    </w:p>
    <w:p w:rsidR="004E5E83" w:rsidRPr="004E5E83" w:rsidRDefault="004E5E83" w:rsidP="004E5E83">
      <w:pPr>
        <w:rPr>
          <w:lang w:val="en-AU"/>
        </w:rPr>
      </w:pPr>
    </w:p>
    <w:p w:rsidR="004E5E83" w:rsidRPr="004E5E83" w:rsidRDefault="004E5E83" w:rsidP="004E5E83">
      <w:pPr>
        <w:numPr>
          <w:ilvl w:val="0"/>
          <w:numId w:val="4"/>
        </w:numPr>
        <w:rPr>
          <w:lang w:val="en-AU"/>
        </w:rPr>
      </w:pPr>
      <w:r w:rsidRPr="004E5E83">
        <w:rPr>
          <w:b/>
          <w:bCs/>
          <w:i/>
          <w:iCs/>
          <w:lang w:val="en-AU"/>
        </w:rPr>
        <w:t>Copy control TPMs </w:t>
      </w:r>
      <w:r w:rsidRPr="004E5E83">
        <w:rPr>
          <w:lang w:val="en-AU"/>
        </w:rPr>
        <w:t>– these prevent users from copying copyright content. Some examples include:</w:t>
      </w:r>
    </w:p>
    <w:p w:rsidR="004E5E83" w:rsidRPr="004E5E83" w:rsidRDefault="004E5E83" w:rsidP="004E5E83">
      <w:pPr>
        <w:rPr>
          <w:lang w:val="en-AU"/>
        </w:rPr>
      </w:pPr>
    </w:p>
    <w:p w:rsidR="004E5E83" w:rsidRPr="004E5E83" w:rsidRDefault="004E5E83" w:rsidP="004E5E83">
      <w:pPr>
        <w:numPr>
          <w:ilvl w:val="1"/>
          <w:numId w:val="6"/>
        </w:numPr>
        <w:rPr>
          <w:lang w:val="en-AU"/>
        </w:rPr>
      </w:pPr>
      <w:r w:rsidRPr="004E5E83">
        <w:rPr>
          <w:lang w:val="en-AU"/>
        </w:rPr>
        <w:t>a software lock that prevents you from making a copy of a computer program</w:t>
      </w:r>
    </w:p>
    <w:p w:rsidR="004E5E83" w:rsidRPr="004E5E83" w:rsidRDefault="004E5E83" w:rsidP="004E5E83">
      <w:pPr>
        <w:numPr>
          <w:ilvl w:val="1"/>
          <w:numId w:val="6"/>
        </w:numPr>
        <w:rPr>
          <w:lang w:val="en-AU"/>
        </w:rPr>
      </w:pPr>
      <w:r w:rsidRPr="004E5E83">
        <w:rPr>
          <w:lang w:val="en-AU"/>
        </w:rPr>
        <w:t>encryption measures stored on the disk containing a movie or CD which prevent you from copying the movie or songs on the disk</w:t>
      </w:r>
    </w:p>
    <w:p w:rsidR="004E5E83" w:rsidRPr="004E5E83" w:rsidRDefault="004E5E83" w:rsidP="004E5E83">
      <w:pPr>
        <w:numPr>
          <w:ilvl w:val="1"/>
          <w:numId w:val="6"/>
        </w:numPr>
        <w:rPr>
          <w:lang w:val="en-AU"/>
        </w:rPr>
      </w:pPr>
      <w:r w:rsidRPr="004E5E83">
        <w:rPr>
          <w:lang w:val="en-AU"/>
        </w:rPr>
        <w:t>a technology that ‘locks’ documents to prevent them from being </w:t>
      </w:r>
      <w:hyperlink r:id="rId8" w:history="1">
        <w:r w:rsidRPr="004E5E83">
          <w:rPr>
            <w:rStyle w:val="Hyperlink"/>
            <w:lang w:val="en-AU"/>
          </w:rPr>
          <w:t>copied</w:t>
        </w:r>
      </w:hyperlink>
      <w:r w:rsidRPr="004E5E83">
        <w:rPr>
          <w:lang w:val="en-AU"/>
        </w:rPr>
        <w:t> (</w:t>
      </w:r>
      <w:proofErr w:type="spellStart"/>
      <w:r w:rsidRPr="004E5E83">
        <w:rPr>
          <w:lang w:val="en-AU"/>
        </w:rPr>
        <w:t>eg</w:t>
      </w:r>
      <w:proofErr w:type="spellEnd"/>
      <w:r w:rsidRPr="004E5E83">
        <w:rPr>
          <w:lang w:val="en-AU"/>
        </w:rPr>
        <w:t xml:space="preserve"> the function that ‘locks’ a PDF document to stop you from making a copy.</w:t>
      </w:r>
    </w:p>
    <w:p w:rsidR="004E5E83" w:rsidRDefault="004E5E83" w:rsidP="004E5E83">
      <w:pPr>
        <w:rPr>
          <w:b/>
          <w:bCs/>
          <w:lang w:val="en-AU"/>
        </w:rPr>
      </w:pPr>
    </w:p>
    <w:p w:rsidR="004E5E83" w:rsidRDefault="004E5E83" w:rsidP="004E5E83">
      <w:pPr>
        <w:rPr>
          <w:b/>
          <w:bCs/>
          <w:sz w:val="28"/>
          <w:szCs w:val="28"/>
          <w:lang w:val="en-AU"/>
        </w:rPr>
      </w:pPr>
      <w:r w:rsidRPr="004E5E83">
        <w:rPr>
          <w:b/>
          <w:bCs/>
          <w:sz w:val="28"/>
          <w:szCs w:val="28"/>
          <w:lang w:val="en-AU"/>
        </w:rPr>
        <w:t>Rules applying to TPMs</w:t>
      </w:r>
    </w:p>
    <w:p w:rsidR="004E5E83" w:rsidRPr="004E5E83" w:rsidRDefault="004E5E83" w:rsidP="004E5E83">
      <w:pPr>
        <w:rPr>
          <w:b/>
          <w:bCs/>
          <w:sz w:val="28"/>
          <w:szCs w:val="28"/>
          <w:lang w:val="en-AU"/>
        </w:rPr>
      </w:pPr>
    </w:p>
    <w:p w:rsidR="004E5E83" w:rsidRPr="004E5E83" w:rsidRDefault="004E5E83" w:rsidP="004E5E83">
      <w:pPr>
        <w:rPr>
          <w:lang w:val="en-AU"/>
        </w:rPr>
      </w:pPr>
      <w:r w:rsidRPr="004E5E83">
        <w:rPr>
          <w:lang w:val="en-AU"/>
        </w:rPr>
        <w:t>Until very recently, schools and TAFEs were almost never permitted to circumvent (</w:t>
      </w:r>
      <w:proofErr w:type="spellStart"/>
      <w:r w:rsidRPr="004E5E83">
        <w:rPr>
          <w:lang w:val="en-AU"/>
        </w:rPr>
        <w:t>eg</w:t>
      </w:r>
      <w:proofErr w:type="spellEnd"/>
      <w:r w:rsidRPr="004E5E83">
        <w:rPr>
          <w:lang w:val="en-AU"/>
        </w:rPr>
        <w:t xml:space="preserve"> disable or remove) Access Control TPMs. However, following copyright law reforms that came into effect on 22 December 2017, schools and TAFEs are now permitted to circumvent Access Control TPMs for the following purposes:</w:t>
      </w:r>
    </w:p>
    <w:p w:rsidR="004E5E83" w:rsidRPr="004E5E83" w:rsidRDefault="004E5E83" w:rsidP="004E5E83">
      <w:pPr>
        <w:numPr>
          <w:ilvl w:val="0"/>
          <w:numId w:val="7"/>
        </w:numPr>
        <w:rPr>
          <w:lang w:val="en-AU"/>
        </w:rPr>
      </w:pPr>
      <w:r w:rsidRPr="004E5E83">
        <w:rPr>
          <w:lang w:val="en-AU"/>
        </w:rPr>
        <w:lastRenderedPageBreak/>
        <w:t>making a copy under the </w:t>
      </w:r>
      <w:hyperlink r:id="rId9" w:history="1">
        <w:r w:rsidRPr="004E5E83">
          <w:rPr>
            <w:rStyle w:val="Hyperlink"/>
            <w:lang w:val="en-AU"/>
          </w:rPr>
          <w:t>Statutory Text and Artistic Works Licence</w:t>
        </w:r>
      </w:hyperlink>
      <w:r w:rsidRPr="004E5E83">
        <w:rPr>
          <w:lang w:val="en-AU"/>
        </w:rPr>
        <w:t> or the </w:t>
      </w:r>
      <w:hyperlink r:id="rId10" w:history="1">
        <w:r w:rsidRPr="004E5E83">
          <w:rPr>
            <w:rStyle w:val="Hyperlink"/>
            <w:lang w:val="en-AU"/>
          </w:rPr>
          <w:t>Statutory Broadcast Licence</w:t>
        </w:r>
      </w:hyperlink>
    </w:p>
    <w:p w:rsidR="004E5E83" w:rsidRPr="004E5E83" w:rsidRDefault="004E5E83" w:rsidP="004E5E83">
      <w:pPr>
        <w:numPr>
          <w:ilvl w:val="0"/>
          <w:numId w:val="7"/>
        </w:numPr>
        <w:rPr>
          <w:lang w:val="en-AU"/>
        </w:rPr>
      </w:pPr>
      <w:r w:rsidRPr="004E5E83">
        <w:rPr>
          <w:lang w:val="en-AU"/>
        </w:rPr>
        <w:t>making a copy under the </w:t>
      </w:r>
      <w:hyperlink r:id="rId11" w:history="1">
        <w:r w:rsidRPr="004E5E83">
          <w:rPr>
            <w:rStyle w:val="Hyperlink"/>
            <w:lang w:val="en-AU"/>
          </w:rPr>
          <w:t>flexible dealing exception</w:t>
        </w:r>
      </w:hyperlink>
      <w:r w:rsidRPr="004E5E83">
        <w:rPr>
          <w:lang w:val="en-AU"/>
        </w:rPr>
        <w:t> in s 200AB of the Copyright Act</w:t>
      </w:r>
    </w:p>
    <w:p w:rsidR="004E5E83" w:rsidRDefault="004E5E83" w:rsidP="004E5E83">
      <w:pPr>
        <w:ind w:left="720"/>
        <w:rPr>
          <w:lang w:val="en-AU"/>
        </w:rPr>
      </w:pPr>
    </w:p>
    <w:p w:rsidR="004E5E83" w:rsidRPr="004E5E83" w:rsidRDefault="004E5E83" w:rsidP="004E5E83">
      <w:pPr>
        <w:numPr>
          <w:ilvl w:val="0"/>
          <w:numId w:val="7"/>
        </w:numPr>
        <w:rPr>
          <w:lang w:val="en-AU"/>
        </w:rPr>
      </w:pPr>
      <w:r w:rsidRPr="004E5E83">
        <w:rPr>
          <w:lang w:val="en-AU"/>
        </w:rPr>
        <w:t>making a copy under the </w:t>
      </w:r>
      <w:hyperlink r:id="rId12" w:history="1">
        <w:r w:rsidRPr="004E5E83">
          <w:rPr>
            <w:rStyle w:val="Hyperlink"/>
            <w:lang w:val="en-AU"/>
          </w:rPr>
          <w:t>organisational disability exception</w:t>
        </w:r>
      </w:hyperlink>
      <w:r w:rsidRPr="004E5E83">
        <w:rPr>
          <w:lang w:val="en-AU"/>
        </w:rPr>
        <w:t> in s 113F of the Copyright Act or</w:t>
      </w:r>
    </w:p>
    <w:p w:rsidR="004E5E83" w:rsidRPr="004E5E83" w:rsidRDefault="004E5E83" w:rsidP="004E5E83">
      <w:pPr>
        <w:numPr>
          <w:ilvl w:val="0"/>
          <w:numId w:val="7"/>
        </w:numPr>
        <w:rPr>
          <w:lang w:val="en-AU"/>
        </w:rPr>
      </w:pPr>
      <w:r w:rsidRPr="004E5E83">
        <w:rPr>
          <w:lang w:val="en-AU"/>
        </w:rPr>
        <w:t>making a copy under the </w:t>
      </w:r>
      <w:hyperlink r:id="rId13" w:history="1">
        <w:r w:rsidRPr="004E5E83">
          <w:rPr>
            <w:rStyle w:val="Hyperlink"/>
            <w:lang w:val="en-AU"/>
          </w:rPr>
          <w:t>fair dealing for disability exception</w:t>
        </w:r>
      </w:hyperlink>
      <w:r w:rsidRPr="004E5E83">
        <w:rPr>
          <w:lang w:val="en-AU"/>
        </w:rPr>
        <w:t> in s 113E of the Copyright Act.</w:t>
      </w:r>
    </w:p>
    <w:p w:rsidR="004E5E83" w:rsidRDefault="004E5E83" w:rsidP="004E5E83">
      <w:pPr>
        <w:rPr>
          <w:lang w:val="en-AU"/>
        </w:rPr>
      </w:pPr>
    </w:p>
    <w:p w:rsidR="004E5E83" w:rsidRPr="004E5E83" w:rsidRDefault="004E5E83" w:rsidP="004E5E83">
      <w:pPr>
        <w:rPr>
          <w:lang w:val="en-AU"/>
        </w:rPr>
      </w:pPr>
      <w:r w:rsidRPr="004E5E83">
        <w:rPr>
          <w:lang w:val="en-AU"/>
        </w:rPr>
        <w:t>Schools and TAFEs are </w:t>
      </w:r>
      <w:r w:rsidRPr="004E5E83">
        <w:rPr>
          <w:b/>
          <w:bCs/>
          <w:lang w:val="en-AU"/>
        </w:rPr>
        <w:t>not </w:t>
      </w:r>
      <w:r w:rsidRPr="004E5E83">
        <w:rPr>
          <w:lang w:val="en-AU"/>
        </w:rPr>
        <w:t>permitted to circumvent an Access Control TPM for </w:t>
      </w:r>
      <w:r w:rsidRPr="004E5E83">
        <w:rPr>
          <w:b/>
          <w:bCs/>
          <w:lang w:val="en-AU"/>
        </w:rPr>
        <w:t>any other purpose</w:t>
      </w:r>
      <w:r w:rsidRPr="004E5E83">
        <w:rPr>
          <w:lang w:val="en-AU"/>
        </w:rPr>
        <w:t> (</w:t>
      </w:r>
      <w:proofErr w:type="spellStart"/>
      <w:r w:rsidRPr="004E5E83">
        <w:rPr>
          <w:lang w:val="en-AU"/>
        </w:rPr>
        <w:t>eg</w:t>
      </w:r>
      <w:proofErr w:type="spellEnd"/>
      <w:r w:rsidRPr="004E5E83">
        <w:rPr>
          <w:lang w:val="en-AU"/>
        </w:rPr>
        <w:t xml:space="preserve"> a teacher or student making a copy for their own </w:t>
      </w:r>
      <w:hyperlink r:id="rId14" w:history="1">
        <w:r w:rsidRPr="004E5E83">
          <w:rPr>
            <w:rStyle w:val="Hyperlink"/>
            <w:lang w:val="en-AU"/>
          </w:rPr>
          <w:t>fair dealing</w:t>
        </w:r>
      </w:hyperlink>
      <w:r w:rsidRPr="004E5E83">
        <w:rPr>
          <w:lang w:val="en-AU"/>
        </w:rPr>
        <w:t> purposes).</w:t>
      </w:r>
    </w:p>
    <w:p w:rsidR="004E5E83" w:rsidRDefault="004E5E83" w:rsidP="004E5E83">
      <w:pPr>
        <w:rPr>
          <w:lang w:val="en-AU"/>
        </w:rPr>
      </w:pPr>
    </w:p>
    <w:p w:rsidR="004E5E83" w:rsidRPr="004E5E83" w:rsidRDefault="004E5E83" w:rsidP="004E5E83">
      <w:pPr>
        <w:rPr>
          <w:lang w:val="en-AU"/>
        </w:rPr>
      </w:pPr>
      <w:r w:rsidRPr="004E5E83">
        <w:rPr>
          <w:lang w:val="en-AU"/>
        </w:rPr>
        <w:t>Schools and TAFEs are allowed to circumvent Copy Control TPMs.</w:t>
      </w:r>
    </w:p>
    <w:p w:rsidR="004E5E83" w:rsidRDefault="004E5E83" w:rsidP="004E5E83">
      <w:pPr>
        <w:rPr>
          <w:lang w:val="en-AU"/>
        </w:rPr>
      </w:pPr>
    </w:p>
    <w:p w:rsidR="004E5E83" w:rsidRPr="004E5E83" w:rsidRDefault="004E5E83" w:rsidP="004E5E83">
      <w:pPr>
        <w:rPr>
          <w:lang w:val="en-AU"/>
        </w:rPr>
      </w:pPr>
      <w:r w:rsidRPr="004E5E83">
        <w:rPr>
          <w:lang w:val="en-AU"/>
        </w:rPr>
        <w:t>For further information, contact your </w:t>
      </w:r>
      <w:hyperlink r:id="rId15" w:history="1">
        <w:r w:rsidRPr="004E5E83">
          <w:rPr>
            <w:rStyle w:val="Hyperlink"/>
            <w:lang w:val="en-AU"/>
          </w:rPr>
          <w:t>local copyright manager</w:t>
        </w:r>
      </w:hyperlink>
      <w:r w:rsidRPr="004E5E83">
        <w:rPr>
          <w:lang w:val="en-AU"/>
        </w:rPr>
        <w:t>.</w:t>
      </w:r>
    </w:p>
    <w:p w:rsidR="004E5E83" w:rsidRDefault="004E5E83"/>
    <w:sectPr w:rsidR="004E5E83" w:rsidSect="00BA7D6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73F" w:rsidRDefault="00F2173F" w:rsidP="004A6BC1">
      <w:pPr>
        <w:spacing w:line="240" w:lineRule="auto"/>
      </w:pPr>
      <w:r>
        <w:separator/>
      </w:r>
    </w:p>
  </w:endnote>
  <w:endnote w:type="continuationSeparator" w:id="0">
    <w:p w:rsidR="00F2173F" w:rsidRDefault="00F2173F" w:rsidP="004A6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F3B" w:rsidRDefault="00965F3B" w:rsidP="00E01BB6">
    <w:pPr>
      <w:pStyle w:val="Footer"/>
      <w:jc w:val="center"/>
    </w:pPr>
    <w:bookmarkStart w:id="0" w:name="_GoBack"/>
    <w:bookmarkEnd w:id="0"/>
    <w:r>
      <w:rPr>
        <w:noProof/>
      </w:rPr>
      <mc:AlternateContent>
        <mc:Choice Requires="wps">
          <w:drawing>
            <wp:anchor distT="45720" distB="45720" distL="114300" distR="114300" simplePos="0" relativeHeight="251662336" behindDoc="0" locked="0" layoutInCell="1" allowOverlap="1">
              <wp:simplePos x="0" y="0"/>
              <wp:positionH relativeFrom="column">
                <wp:posOffset>-834390</wp:posOffset>
              </wp:positionH>
              <wp:positionV relativeFrom="paragraph">
                <wp:posOffset>-2540</wp:posOffset>
              </wp:positionV>
              <wp:extent cx="1447800" cy="5867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47800" cy="586740"/>
                      </a:xfrm>
                      <a:prstGeom prst="rect">
                        <a:avLst/>
                      </a:prstGeom>
                      <a:solidFill>
                        <a:srgbClr val="FFFFFF"/>
                      </a:solidFill>
                      <a:ln w="9525">
                        <a:noFill/>
                        <a:miter lim="800000"/>
                        <a:headEnd/>
                        <a:tailEnd/>
                      </a:ln>
                    </wps:spPr>
                    <wps:txbx>
                      <w:txbxContent>
                        <w:p w:rsidR="00965F3B" w:rsidRPr="00FD7350" w:rsidRDefault="00965F3B"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7pt;margin-top:-.2pt;width:114pt;height:46.2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" stroked="f">
              <v:textbox>
                <w:txbxContent>
                  <w:p w:rsidR="00965F3B" w:rsidRPr="00FD7350" w:rsidRDefault="00965F3B" w:rsidP="00E01BB6">
                    <w:pPr>
                      <w:rPr>
                        <w:sz w:val="14"/>
                        <w:szCs w:val="14"/>
                      </w:rPr>
                    </w:pPr>
                    <w:r w:rsidRPr="00FD7350">
                      <w:rPr>
                        <w:sz w:val="14"/>
                        <w:szCs w:val="14"/>
                      </w:rPr>
                      <w:t>National Copyright Unit on behalf of the</w:t>
                    </w:r>
                    <w:r>
                      <w:rPr>
                        <w:sz w:val="14"/>
                        <w:szCs w:val="14"/>
                      </w:rPr>
                      <w:t xml:space="preserve"> </w:t>
                    </w:r>
                    <w:r w:rsidRPr="00FD7350">
                      <w:rPr>
                        <w:sz w:val="14"/>
                        <w:szCs w:val="14"/>
                      </w:rPr>
                      <w:t>Copyright Advisory Groups (Schools and TAFEs)</w:t>
                    </w:r>
                  </w:p>
                </w:txbxContent>
              </v:textbox>
              <w10:wrap type="square"/>
            </v:shape>
          </w:pict>
        </mc:Fallback>
      </mc:AlternateContent>
    </w:r>
    <w:r>
      <w:rPr>
        <w:rFonts w:ascii="Calibri" w:eastAsia="Calibri" w:hAnsi="Calibri" w:cs="Calibri"/>
        <w:noProof/>
        <w:sz w:val="16"/>
        <w:szCs w:val="16"/>
      </w:rPr>
      <w:drawing>
        <wp:anchor distT="0" distB="0" distL="114300" distR="114300" simplePos="0" relativeHeight="251661312" behindDoc="0" locked="0" layoutInCell="1" allowOverlap="1">
          <wp:simplePos x="0" y="0"/>
          <wp:positionH relativeFrom="column">
            <wp:posOffset>5476875</wp:posOffset>
          </wp:positionH>
          <wp:positionV relativeFrom="page">
            <wp:posOffset>10115550</wp:posOffset>
          </wp:positionV>
          <wp:extent cx="866775" cy="302895"/>
          <wp:effectExtent l="0" t="0" r="9525" b="1905"/>
          <wp:wrapTopAndBottom/>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66775" cy="302895"/>
                  </a:xfrm>
                  <a:prstGeom prst="rect">
                    <a:avLst/>
                  </a:prstGeom>
                </pic:spPr>
              </pic:pic>
            </a:graphicData>
          </a:graphic>
          <wp14:sizeRelH relativeFrom="margin">
            <wp14:pctWidth>0</wp14:pctWidth>
          </wp14:sizeRelH>
          <wp14:sizeRelV relativeFrom="margin">
            <wp14:pctHeight>0</wp14:pctHeight>
          </wp14:sizeRelV>
        </wp:anchor>
      </w:drawing>
    </w:r>
    <w:sdt>
      <w:sdtPr>
        <w:id w:val="-1550030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965F3B" w:rsidRDefault="00965F3B" w:rsidP="00471F71">
    <w:pPr>
      <w:tabs>
        <w:tab w:val="left" w:pos="7728"/>
      </w:tabs>
      <w:spacing w:line="240" w:lineRule="auto"/>
      <w:rPr>
        <w:rFonts w:ascii="Calibri" w:eastAsia="Calibri" w:hAnsi="Calibri" w:cs="Calibri"/>
        <w:sz w:val="16"/>
        <w:szCs w:val="16"/>
      </w:rPr>
    </w:pPr>
  </w:p>
  <w:p w:rsidR="00901DE9" w:rsidRDefault="00F2173F" w:rsidP="00471F71">
    <w:pPr>
      <w:tabs>
        <w:tab w:val="left" w:pos="7728"/>
      </w:tabs>
      <w:spacing w:line="240" w:lineRule="auto"/>
      <w:rPr>
        <w:rFonts w:ascii="Calibri" w:eastAsia="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Pr="00B00B93" w:rsidRDefault="00602CEB">
    <w:pPr>
      <w:rPr>
        <w:sz w:val="16"/>
        <w:szCs w:val="16"/>
      </w:rPr>
    </w:pPr>
    <w:r w:rsidRPr="00B00B93">
      <w:rPr>
        <w:sz w:val="16"/>
        <w:szCs w:val="16"/>
      </w:rPr>
      <w:t>National Copyright Unit on behalf of the Copyright Advisory Groups (Schools and TAFEs)</w:t>
    </w:r>
    <w:r>
      <w:t xml:space="preserve"> </w:t>
    </w:r>
    <w:r>
      <w:ptab w:relativeTo="margin" w:alignment="right" w:leader="none"/>
    </w:r>
    <w:r>
      <w:rPr>
        <w:rFonts w:ascii="Calibri" w:eastAsia="Calibri" w:hAnsi="Calibri" w:cs="Calibri"/>
        <w:noProof/>
        <w:sz w:val="24"/>
        <w:szCs w:val="24"/>
      </w:rPr>
      <w:drawing>
        <wp:inline distT="0" distB="0" distL="0" distR="0" wp14:anchorId="16057982" wp14:editId="6B131CF5">
          <wp:extent cx="846455" cy="283845"/>
          <wp:effectExtent l="0" t="0" r="0" b="0"/>
          <wp:docPr id="14" name="image3.jpg" descr="Attribution"/>
          <wp:cNvGraphicFramePr/>
          <a:graphic xmlns:a="http://schemas.openxmlformats.org/drawingml/2006/main">
            <a:graphicData uri="http://schemas.openxmlformats.org/drawingml/2006/picture">
              <pic:pic xmlns:pic="http://schemas.openxmlformats.org/drawingml/2006/picture">
                <pic:nvPicPr>
                  <pic:cNvPr id="0" name="image3.jpg" descr="Attribution"/>
                  <pic:cNvPicPr preferRelativeResize="0"/>
                </pic:nvPicPr>
                <pic:blipFill>
                  <a:blip r:embed="rId1"/>
                  <a:srcRect/>
                  <a:stretch>
                    <a:fillRect/>
                  </a:stretch>
                </pic:blipFill>
                <pic:spPr>
                  <a:xfrm>
                    <a:off x="0" y="0"/>
                    <a:ext cx="846455" cy="2838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73F" w:rsidRDefault="00F2173F" w:rsidP="004A6BC1">
      <w:pPr>
        <w:spacing w:line="240" w:lineRule="auto"/>
      </w:pPr>
      <w:r>
        <w:separator/>
      </w:r>
    </w:p>
  </w:footnote>
  <w:footnote w:type="continuationSeparator" w:id="0">
    <w:p w:rsidR="00F2173F" w:rsidRDefault="00F2173F" w:rsidP="004A6B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E9" w:rsidRDefault="00BA7D6D" w:rsidP="00AC7609">
    <w:pPr>
      <w:jc w:val="center"/>
    </w:pPr>
    <w:r>
      <w:rPr>
        <w:noProof/>
      </w:rPr>
      <w:drawing>
        <wp:inline distT="0" distB="0" distL="0" distR="0">
          <wp:extent cx="4080510" cy="879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smartcopying-white-large.jpg"/>
                  <pic:cNvPicPr/>
                </pic:nvPicPr>
                <pic:blipFill>
                  <a:blip r:embed="rId1">
                    <a:extLst>
                      <a:ext uri="{28A0092B-C50C-407E-A947-70E740481C1C}">
                        <a14:useLocalDpi xmlns:a14="http://schemas.microsoft.com/office/drawing/2010/main" val="0"/>
                      </a:ext>
                    </a:extLst>
                  </a:blip>
                  <a:stretch>
                    <a:fillRect/>
                  </a:stretch>
                </pic:blipFill>
                <pic:spPr>
                  <a:xfrm>
                    <a:off x="0" y="0"/>
                    <a:ext cx="4165246" cy="897564"/>
                  </a:xfrm>
                  <a:prstGeom prst="rect">
                    <a:avLst/>
                  </a:prstGeom>
                </pic:spPr>
              </pic:pic>
            </a:graphicData>
          </a:graphic>
        </wp:inline>
      </w:drawing>
    </w:r>
    <w:r w:rsidR="00602CEB">
      <w:rPr>
        <w:noProof/>
      </w:rPr>
      <w:drawing>
        <wp:anchor distT="0" distB="0" distL="0" distR="0" simplePos="0" relativeHeight="251659264" behindDoc="0" locked="0" layoutInCell="1" hidden="0" allowOverlap="1" wp14:anchorId="0F2AEF89" wp14:editId="7D3413B6">
          <wp:simplePos x="0" y="0"/>
          <wp:positionH relativeFrom="column">
            <wp:posOffset>-901065</wp:posOffset>
          </wp:positionH>
          <wp:positionV relativeFrom="paragraph">
            <wp:posOffset>-445135</wp:posOffset>
          </wp:positionV>
          <wp:extent cx="14010409" cy="952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010409" cy="95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15" w:rsidRDefault="00D55D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37757"/>
    <w:multiLevelType w:val="multilevel"/>
    <w:tmpl w:val="21C02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94417"/>
    <w:multiLevelType w:val="multilevel"/>
    <w:tmpl w:val="C976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C781F"/>
    <w:multiLevelType w:val="multilevel"/>
    <w:tmpl w:val="0A745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E636A4"/>
    <w:multiLevelType w:val="multilevel"/>
    <w:tmpl w:val="ED382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6917E0"/>
    <w:multiLevelType w:val="multilevel"/>
    <w:tmpl w:val="61D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3"/>
    <w:lvlOverride w:ilvl="0">
      <w:lvl w:ilvl="0">
        <w:numFmt w:val="decimal"/>
        <w:lvlText w:val="%1."/>
        <w:lvlJc w:val="left"/>
      </w:lvl>
    </w:lvlOverride>
  </w:num>
  <w:num w:numId="5">
    <w:abstractNumId w:val="2"/>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C1"/>
    <w:rsid w:val="00471F71"/>
    <w:rsid w:val="004A6BC1"/>
    <w:rsid w:val="004E5E83"/>
    <w:rsid w:val="005A3AB4"/>
    <w:rsid w:val="00602CEB"/>
    <w:rsid w:val="00714101"/>
    <w:rsid w:val="00965F3B"/>
    <w:rsid w:val="00AC7609"/>
    <w:rsid w:val="00BA7D6D"/>
    <w:rsid w:val="00C50477"/>
    <w:rsid w:val="00D54827"/>
    <w:rsid w:val="00D55D15"/>
    <w:rsid w:val="00DB5C76"/>
    <w:rsid w:val="00F21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4EA5DC-6759-41EE-BCA9-EB71470E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BC1"/>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BC1"/>
    <w:pPr>
      <w:tabs>
        <w:tab w:val="center" w:pos="4513"/>
        <w:tab w:val="right" w:pos="9026"/>
      </w:tabs>
      <w:spacing w:line="240" w:lineRule="auto"/>
    </w:pPr>
  </w:style>
  <w:style w:type="character" w:customStyle="1" w:styleId="HeaderChar">
    <w:name w:val="Header Char"/>
    <w:basedOn w:val="DefaultParagraphFont"/>
    <w:link w:val="Header"/>
    <w:uiPriority w:val="99"/>
    <w:rsid w:val="004A6BC1"/>
    <w:rPr>
      <w:rFonts w:ascii="Arial" w:eastAsia="Arial" w:hAnsi="Arial" w:cs="Arial"/>
      <w:lang w:val="en-GB" w:eastAsia="en-AU"/>
    </w:rPr>
  </w:style>
  <w:style w:type="paragraph" w:styleId="Footer">
    <w:name w:val="footer"/>
    <w:basedOn w:val="Normal"/>
    <w:link w:val="FooterChar"/>
    <w:uiPriority w:val="99"/>
    <w:unhideWhenUsed/>
    <w:rsid w:val="004A6BC1"/>
    <w:pPr>
      <w:tabs>
        <w:tab w:val="center" w:pos="4513"/>
        <w:tab w:val="right" w:pos="9026"/>
      </w:tabs>
      <w:spacing w:line="240" w:lineRule="auto"/>
    </w:pPr>
  </w:style>
  <w:style w:type="character" w:customStyle="1" w:styleId="FooterChar">
    <w:name w:val="Footer Char"/>
    <w:basedOn w:val="DefaultParagraphFont"/>
    <w:link w:val="Footer"/>
    <w:uiPriority w:val="99"/>
    <w:rsid w:val="004A6BC1"/>
    <w:rPr>
      <w:rFonts w:ascii="Arial" w:eastAsia="Arial" w:hAnsi="Arial" w:cs="Arial"/>
      <w:lang w:val="en-GB" w:eastAsia="en-AU"/>
    </w:rPr>
  </w:style>
  <w:style w:type="character" w:styleId="Hyperlink">
    <w:name w:val="Hyperlink"/>
    <w:basedOn w:val="DefaultParagraphFont"/>
    <w:uiPriority w:val="99"/>
    <w:unhideWhenUsed/>
    <w:rsid w:val="00D55D15"/>
    <w:rPr>
      <w:color w:val="0563C1" w:themeColor="hyperlink"/>
      <w:u w:val="single"/>
    </w:rPr>
  </w:style>
  <w:style w:type="character" w:styleId="UnresolvedMention">
    <w:name w:val="Unresolved Mention"/>
    <w:basedOn w:val="DefaultParagraphFont"/>
    <w:uiPriority w:val="99"/>
    <w:semiHidden/>
    <w:unhideWhenUsed/>
    <w:rsid w:val="00D5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0143">
      <w:bodyDiv w:val="1"/>
      <w:marLeft w:val="0"/>
      <w:marRight w:val="0"/>
      <w:marTop w:val="0"/>
      <w:marBottom w:val="0"/>
      <w:divBdr>
        <w:top w:val="none" w:sz="0" w:space="0" w:color="auto"/>
        <w:left w:val="none" w:sz="0" w:space="0" w:color="auto"/>
        <w:bottom w:val="none" w:sz="0" w:space="0" w:color="auto"/>
        <w:right w:val="none" w:sz="0" w:space="0" w:color="auto"/>
      </w:divBdr>
      <w:divsChild>
        <w:div w:id="2082288611">
          <w:marLeft w:val="0"/>
          <w:marRight w:val="0"/>
          <w:marTop w:val="0"/>
          <w:marBottom w:val="0"/>
          <w:divBdr>
            <w:top w:val="single" w:sz="2" w:space="0" w:color="auto"/>
            <w:left w:val="single" w:sz="2" w:space="0" w:color="auto"/>
            <w:bottom w:val="single" w:sz="2" w:space="0" w:color="auto"/>
            <w:right w:val="single" w:sz="2" w:space="0" w:color="auto"/>
          </w:divBdr>
        </w:div>
      </w:divsChild>
    </w:div>
    <w:div w:id="2138794513">
      <w:bodyDiv w:val="1"/>
      <w:marLeft w:val="0"/>
      <w:marRight w:val="0"/>
      <w:marTop w:val="0"/>
      <w:marBottom w:val="0"/>
      <w:divBdr>
        <w:top w:val="none" w:sz="0" w:space="0" w:color="auto"/>
        <w:left w:val="none" w:sz="0" w:space="0" w:color="auto"/>
        <w:bottom w:val="none" w:sz="0" w:space="0" w:color="auto"/>
        <w:right w:val="none" w:sz="0" w:space="0" w:color="auto"/>
      </w:divBdr>
      <w:divsChild>
        <w:div w:id="58596734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opying.edu.au/glossary/copy/" TargetMode="External"/><Relationship Id="rId13" Type="http://schemas.openxmlformats.org/officeDocument/2006/relationships/hyperlink" Target="https://smartcopying.edu.au/guidelines/library-exam-and-disability-copying/disability-access-excep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martcopying.edu.au/guidelines/library-exam-and-disability-copying/disability-access-exception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copying.edu.au/flexible-dealing/" TargetMode="External"/><Relationship Id="rId5" Type="http://schemas.openxmlformats.org/officeDocument/2006/relationships/webSettings" Target="webSettings.xml"/><Relationship Id="rId15" Type="http://schemas.openxmlformats.org/officeDocument/2006/relationships/hyperlink" Target="https://smartcopying.edu.au/contact-us/" TargetMode="External"/><Relationship Id="rId23" Type="http://schemas.openxmlformats.org/officeDocument/2006/relationships/theme" Target="theme/theme1.xml"/><Relationship Id="rId10" Type="http://schemas.openxmlformats.org/officeDocument/2006/relationships/hyperlink" Target="https://smartcopying.edu.au/glossary/statutory-broadcast-licenc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martcopying.edu.au/glossary/statutory-text-and-artistic-works-licence/" TargetMode="External"/><Relationship Id="rId14" Type="http://schemas.openxmlformats.org/officeDocument/2006/relationships/hyperlink" Target="https://smartcopying.edu.au/glossary/fair-dealing/"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C1A8-1546-4465-A47F-76FFA464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Lewis</dc:creator>
  <cp:keywords/>
  <dc:description/>
  <cp:lastModifiedBy>Sara Lewis</cp:lastModifiedBy>
  <cp:revision>3</cp:revision>
  <dcterms:created xsi:type="dcterms:W3CDTF">2021-01-28T04:58:00Z</dcterms:created>
  <dcterms:modified xsi:type="dcterms:W3CDTF">2021-03-01T03:05:00Z</dcterms:modified>
</cp:coreProperties>
</file>